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A3" w:rsidRDefault="00FF6CA3" w:rsidP="00FF6CA3">
      <w:pPr>
        <w:rPr>
          <w:rFonts w:ascii="Bookman Old Style" w:hAnsi="Bookman Old Style"/>
          <w:szCs w:val="24"/>
        </w:rPr>
      </w:pPr>
    </w:p>
    <w:p w:rsidR="00FF6CA3" w:rsidRPr="00EA4D25" w:rsidRDefault="00BD75FB" w:rsidP="00FF6CA3">
      <w:pPr>
        <w:pStyle w:val="NoSpacing"/>
        <w:jc w:val="both"/>
        <w:rPr>
          <w:rFonts w:eastAsia="Calibri"/>
          <w:b w:val="0"/>
          <w:szCs w:val="24"/>
        </w:rPr>
      </w:pPr>
      <w:r>
        <w:rPr>
          <w:rFonts w:eastAsia="Calibri"/>
          <w:b w:val="0"/>
          <w:szCs w:val="24"/>
        </w:rPr>
        <w:t>1</w:t>
      </w:r>
      <w:r w:rsidR="00E91DCC">
        <w:rPr>
          <w:rFonts w:eastAsia="Calibri"/>
          <w:b w:val="0"/>
          <w:szCs w:val="24"/>
        </w:rPr>
        <w:t>4</w:t>
      </w:r>
      <w:r w:rsidR="00A10E6B">
        <w:rPr>
          <w:rFonts w:eastAsia="Calibri"/>
          <w:b w:val="0"/>
          <w:szCs w:val="24"/>
        </w:rPr>
        <w:t xml:space="preserve"> de octubre</w:t>
      </w:r>
      <w:r w:rsidR="00FF6CA3" w:rsidRPr="00EA4D25">
        <w:rPr>
          <w:rFonts w:eastAsia="Calibri"/>
          <w:b w:val="0"/>
          <w:szCs w:val="24"/>
        </w:rPr>
        <w:t xml:space="preserve"> de 2016 </w:t>
      </w:r>
    </w:p>
    <w:p w:rsidR="00FF6CA3" w:rsidRDefault="00FF6CA3" w:rsidP="00FF6CA3">
      <w:pPr>
        <w:pStyle w:val="NoSpacing"/>
        <w:jc w:val="both"/>
        <w:rPr>
          <w:rFonts w:eastAsia="Calibri"/>
          <w:b w:val="0"/>
          <w:szCs w:val="24"/>
        </w:rPr>
      </w:pPr>
    </w:p>
    <w:p w:rsidR="00FF6CA3" w:rsidRDefault="00FF6CA3" w:rsidP="00FF6CA3">
      <w:pPr>
        <w:pStyle w:val="NoSpacing"/>
        <w:jc w:val="both"/>
        <w:rPr>
          <w:rFonts w:eastAsia="Calibri"/>
          <w:b w:val="0"/>
          <w:szCs w:val="24"/>
        </w:rPr>
      </w:pPr>
    </w:p>
    <w:p w:rsidR="00FF6CA3" w:rsidRPr="00E91DCC" w:rsidRDefault="00A10E6B" w:rsidP="00FF6CA3">
      <w:pPr>
        <w:pStyle w:val="NoSpacing"/>
        <w:jc w:val="both"/>
        <w:rPr>
          <w:rFonts w:ascii="Bookman Old Style" w:eastAsia="Calibri" w:hAnsi="Bookman Old Style"/>
          <w:szCs w:val="24"/>
        </w:rPr>
      </w:pPr>
      <w:bookmarkStart w:id="0" w:name="_GoBack"/>
      <w:r w:rsidRPr="00E91DCC">
        <w:rPr>
          <w:rFonts w:ascii="Bookman Old Style" w:eastAsia="Calibri" w:hAnsi="Bookman Old Style"/>
          <w:szCs w:val="24"/>
        </w:rPr>
        <w:t>PONENCIA PROCESO DE TRANSICIÓN GUBERNAMENTAL-LOGROS DE LA ADMINISTRACIÓN DE REHABILITACIÓN VOCACIONAL</w:t>
      </w:r>
    </w:p>
    <w:bookmarkEnd w:id="0"/>
    <w:p w:rsidR="00A10E6B" w:rsidRPr="002D79E5" w:rsidRDefault="00A10E6B" w:rsidP="00FF6CA3">
      <w:pPr>
        <w:pStyle w:val="NoSpacing"/>
        <w:jc w:val="both"/>
        <w:rPr>
          <w:rFonts w:ascii="Bookman Old Style" w:eastAsia="Calibri" w:hAnsi="Bookman Old Style"/>
          <w:b w:val="0"/>
          <w:szCs w:val="24"/>
        </w:rPr>
      </w:pPr>
    </w:p>
    <w:p w:rsidR="00FF6CA3" w:rsidRPr="00EA4D25" w:rsidRDefault="00FF6CA3" w:rsidP="00FF6CA3">
      <w:pPr>
        <w:pStyle w:val="NoSpacing"/>
        <w:spacing w:after="100" w:afterAutospacing="1" w:line="276" w:lineRule="auto"/>
        <w:jc w:val="both"/>
        <w:rPr>
          <w:b w:val="0"/>
          <w:szCs w:val="24"/>
        </w:rPr>
      </w:pPr>
      <w:r w:rsidRPr="00EA4D25">
        <w:rPr>
          <w:b w:val="0"/>
          <w:szCs w:val="24"/>
          <w:lang w:val="es-ES_tradnl"/>
        </w:rPr>
        <w:t xml:space="preserve">La Administración de Rehabilitación </w:t>
      </w:r>
      <w:r>
        <w:rPr>
          <w:b w:val="0"/>
          <w:szCs w:val="24"/>
          <w:lang w:val="es-ES_tradnl"/>
        </w:rPr>
        <w:t>Vocacional (ARV) es la agencia estatal designada para administrar el programa de servicios de rehabilitación vocacional para personas con impedimentos que resultan elegibles, de acuerdo con los criterios establecidos en la Ley Pública 93-112 de 1973, conoc</w:t>
      </w:r>
      <w:r w:rsidR="00226DDE">
        <w:rPr>
          <w:b w:val="0"/>
          <w:szCs w:val="24"/>
          <w:lang w:val="es-ES_tradnl"/>
        </w:rPr>
        <w:t>ida como Ley de R</w:t>
      </w:r>
      <w:r>
        <w:rPr>
          <w:b w:val="0"/>
          <w:szCs w:val="24"/>
          <w:lang w:val="es-ES_tradnl"/>
        </w:rPr>
        <w:t xml:space="preserve">ehabilitación, según enmendada por la Ley de Innovación y Oportunidad en la Fuerza Laboral (WIOA por sus siglas en inglés) del 22 de julio de 2014.  La ARV cuenta con la colaboración de dos Consejos Asesores: El Consejo Estatal de Rehabilitación y el Consejo Estatal de Vida Independiente, para asegurar la representatividad y participación de ciudadanos con impedimentos y de los distintos grupos intercesores en el proceso de rehabilitación vocacional.  </w:t>
      </w:r>
      <w:r w:rsidRPr="00EA4D25">
        <w:rPr>
          <w:b w:val="0"/>
          <w:szCs w:val="24"/>
        </w:rPr>
        <w:t xml:space="preserve"> </w:t>
      </w:r>
    </w:p>
    <w:p w:rsidR="00FF6CA3" w:rsidRPr="00EA4D25" w:rsidRDefault="00A10E6B" w:rsidP="00FF6CA3">
      <w:pPr>
        <w:shd w:val="clear" w:color="auto" w:fill="FFFFFF"/>
        <w:spacing w:after="100" w:afterAutospacing="1" w:line="276" w:lineRule="auto"/>
        <w:jc w:val="both"/>
        <w:rPr>
          <w:b w:val="0"/>
          <w:szCs w:val="24"/>
        </w:rPr>
      </w:pPr>
      <w:r>
        <w:rPr>
          <w:b w:val="0"/>
          <w:szCs w:val="24"/>
        </w:rPr>
        <w:t xml:space="preserve">La ARV provee servicios a las personas con impedimentos elegibles, dirigidos hacia </w:t>
      </w:r>
      <w:r w:rsidRPr="00A10E6B">
        <w:rPr>
          <w:b w:val="0"/>
          <w:szCs w:val="24"/>
        </w:rPr>
        <w:t>el logro de un empleo remunerado</w:t>
      </w:r>
      <w:r>
        <w:rPr>
          <w:b w:val="0"/>
          <w:szCs w:val="24"/>
        </w:rPr>
        <w:t xml:space="preserve"> y a una vida más independiente; promoviendo la calidad de vida y</w:t>
      </w:r>
      <w:r w:rsidRPr="00A10E6B">
        <w:rPr>
          <w:b w:val="0"/>
          <w:szCs w:val="24"/>
        </w:rPr>
        <w:t xml:space="preserve"> autosuficiencia</w:t>
      </w:r>
      <w:r>
        <w:rPr>
          <w:b w:val="0"/>
          <w:szCs w:val="24"/>
        </w:rPr>
        <w:t>.</w:t>
      </w:r>
      <w:r w:rsidR="00FF6CA3">
        <w:rPr>
          <w:b w:val="0"/>
          <w:szCs w:val="24"/>
        </w:rPr>
        <w:t xml:space="preserve"> </w:t>
      </w:r>
      <w:r>
        <w:rPr>
          <w:b w:val="0"/>
          <w:szCs w:val="24"/>
        </w:rPr>
        <w:t xml:space="preserve">En dicho proceso se consideran </w:t>
      </w:r>
      <w:r w:rsidR="00FF6CA3" w:rsidRPr="00EA4D25">
        <w:rPr>
          <w:b w:val="0"/>
          <w:szCs w:val="24"/>
        </w:rPr>
        <w:t>las fortalezas, recursos, prioridades, intereses, habilid</w:t>
      </w:r>
      <w:r>
        <w:rPr>
          <w:b w:val="0"/>
          <w:szCs w:val="24"/>
        </w:rPr>
        <w:t>ades y capacidades del solicitante/consumidor.</w:t>
      </w:r>
    </w:p>
    <w:p w:rsidR="007E6B4F" w:rsidRDefault="003C3485" w:rsidP="00FF6CA3">
      <w:pPr>
        <w:widowControl w:val="0"/>
        <w:spacing w:after="200" w:line="276" w:lineRule="auto"/>
        <w:jc w:val="both"/>
        <w:rPr>
          <w:b w:val="0"/>
          <w:szCs w:val="24"/>
        </w:rPr>
      </w:pPr>
      <w:r>
        <w:rPr>
          <w:b w:val="0"/>
          <w:szCs w:val="24"/>
        </w:rPr>
        <w:t>L</w:t>
      </w:r>
      <w:r w:rsidR="00A10E6B">
        <w:rPr>
          <w:b w:val="0"/>
          <w:szCs w:val="24"/>
        </w:rPr>
        <w:t>a Agencia</w:t>
      </w:r>
      <w:r>
        <w:rPr>
          <w:b w:val="0"/>
          <w:szCs w:val="24"/>
        </w:rPr>
        <w:t xml:space="preserve"> dio</w:t>
      </w:r>
      <w:r w:rsidR="0001758D">
        <w:rPr>
          <w:b w:val="0"/>
          <w:szCs w:val="24"/>
        </w:rPr>
        <w:t xml:space="preserve"> énfasis al cumplimiento con</w:t>
      </w:r>
      <w:r w:rsidR="00FF6CA3">
        <w:rPr>
          <w:b w:val="0"/>
          <w:szCs w:val="24"/>
        </w:rPr>
        <w:t xml:space="preserve"> los indicadores de ejecución </w:t>
      </w:r>
      <w:r w:rsidR="00226DDE">
        <w:rPr>
          <w:b w:val="0"/>
          <w:szCs w:val="24"/>
        </w:rPr>
        <w:t>f</w:t>
      </w:r>
      <w:r w:rsidR="00FF6CA3">
        <w:rPr>
          <w:b w:val="0"/>
          <w:szCs w:val="24"/>
        </w:rPr>
        <w:t>ederales establecidos en nuestro Plan Estatal</w:t>
      </w:r>
      <w:r w:rsidR="00A10E6B">
        <w:rPr>
          <w:b w:val="0"/>
          <w:szCs w:val="24"/>
        </w:rPr>
        <w:t xml:space="preserve"> hasta el año fiscal 2016</w:t>
      </w:r>
      <w:r>
        <w:rPr>
          <w:b w:val="0"/>
          <w:szCs w:val="24"/>
        </w:rPr>
        <w:t>. Como r</w:t>
      </w:r>
      <w:r w:rsidR="00A33E75">
        <w:rPr>
          <w:b w:val="0"/>
          <w:szCs w:val="24"/>
        </w:rPr>
        <w:t>esultado de ello</w:t>
      </w:r>
      <w:r w:rsidR="00FF6CA3">
        <w:rPr>
          <w:b w:val="0"/>
          <w:szCs w:val="24"/>
        </w:rPr>
        <w:t>,</w:t>
      </w:r>
      <w:r w:rsidR="00A33E75">
        <w:rPr>
          <w:b w:val="0"/>
          <w:szCs w:val="24"/>
        </w:rPr>
        <w:t xml:space="preserve"> </w:t>
      </w:r>
      <w:r w:rsidR="0001758D" w:rsidRPr="008655BF">
        <w:rPr>
          <w:szCs w:val="24"/>
          <w:highlight w:val="yellow"/>
        </w:rPr>
        <w:t xml:space="preserve">2,943 </w:t>
      </w:r>
      <w:r w:rsidR="00CE1B5F" w:rsidRPr="008655BF">
        <w:rPr>
          <w:b w:val="0"/>
          <w:szCs w:val="24"/>
          <w:highlight w:val="yellow"/>
        </w:rPr>
        <w:t>consumidores</w:t>
      </w:r>
      <w:r w:rsidR="00FF6CA3" w:rsidRPr="008655BF">
        <w:rPr>
          <w:b w:val="0"/>
          <w:szCs w:val="24"/>
          <w:highlight w:val="yellow"/>
        </w:rPr>
        <w:t xml:space="preserve"> </w:t>
      </w:r>
      <w:r w:rsidR="0001758D" w:rsidRPr="008655BF">
        <w:rPr>
          <w:b w:val="0"/>
          <w:szCs w:val="24"/>
          <w:highlight w:val="yellow"/>
        </w:rPr>
        <w:t xml:space="preserve">lograron un resultado de empleo durante </w:t>
      </w:r>
      <w:r w:rsidR="00FF6CA3" w:rsidRPr="008655BF">
        <w:rPr>
          <w:b w:val="0"/>
          <w:szCs w:val="24"/>
          <w:highlight w:val="yellow"/>
        </w:rPr>
        <w:t>el Año Fiscal 2015</w:t>
      </w:r>
      <w:r w:rsidR="00A33E75" w:rsidRPr="008655BF">
        <w:rPr>
          <w:b w:val="0"/>
          <w:szCs w:val="24"/>
          <w:highlight w:val="yellow"/>
        </w:rPr>
        <w:t xml:space="preserve">; y </w:t>
      </w:r>
      <w:r w:rsidR="0001758D" w:rsidRPr="008655BF">
        <w:rPr>
          <w:szCs w:val="24"/>
          <w:highlight w:val="yellow"/>
        </w:rPr>
        <w:t xml:space="preserve">3,122 </w:t>
      </w:r>
      <w:r w:rsidR="0001758D" w:rsidRPr="008655BF">
        <w:rPr>
          <w:b w:val="0"/>
          <w:szCs w:val="24"/>
          <w:highlight w:val="yellow"/>
        </w:rPr>
        <w:t xml:space="preserve">consumidores (dato preliminar) durante </w:t>
      </w:r>
      <w:r w:rsidR="00A33E75" w:rsidRPr="008655BF">
        <w:rPr>
          <w:b w:val="0"/>
          <w:szCs w:val="24"/>
          <w:highlight w:val="yellow"/>
        </w:rPr>
        <w:t>el Año Fiscal 2016</w:t>
      </w:r>
      <w:r w:rsidR="005E2CF6" w:rsidRPr="008655BF">
        <w:rPr>
          <w:b w:val="0"/>
          <w:szCs w:val="24"/>
          <w:highlight w:val="yellow"/>
        </w:rPr>
        <w:t>.</w:t>
      </w:r>
      <w:r w:rsidR="005E2CF6">
        <w:rPr>
          <w:b w:val="0"/>
          <w:szCs w:val="24"/>
        </w:rPr>
        <w:t xml:space="preserve"> </w:t>
      </w:r>
    </w:p>
    <w:p w:rsidR="005E2CF6" w:rsidRDefault="005E2CF6" w:rsidP="00FF6CA3">
      <w:pPr>
        <w:widowControl w:val="0"/>
        <w:spacing w:after="200" w:line="276" w:lineRule="auto"/>
        <w:jc w:val="both"/>
        <w:rPr>
          <w:b w:val="0"/>
          <w:szCs w:val="24"/>
        </w:rPr>
      </w:pPr>
      <w:r>
        <w:rPr>
          <w:b w:val="0"/>
          <w:szCs w:val="24"/>
        </w:rPr>
        <w:t>A continuación</w:t>
      </w:r>
      <w:r w:rsidR="00CE1B5F">
        <w:rPr>
          <w:b w:val="0"/>
          <w:szCs w:val="24"/>
        </w:rPr>
        <w:t xml:space="preserve"> presentaremos</w:t>
      </w:r>
      <w:r>
        <w:rPr>
          <w:b w:val="0"/>
          <w:szCs w:val="24"/>
        </w:rPr>
        <w:t xml:space="preserve"> algunos de los logros relacionados con indicadores de productividad y criterios de medición correspondientes al período </w:t>
      </w:r>
      <w:r w:rsidR="00CE1B5F">
        <w:rPr>
          <w:b w:val="0"/>
          <w:szCs w:val="24"/>
        </w:rPr>
        <w:t xml:space="preserve">de años fiscales federales </w:t>
      </w:r>
      <w:r>
        <w:rPr>
          <w:b w:val="0"/>
          <w:szCs w:val="24"/>
        </w:rPr>
        <w:t>2013-2016 (</w:t>
      </w:r>
      <w:r w:rsidR="0001758D">
        <w:rPr>
          <w:b w:val="0"/>
          <w:szCs w:val="24"/>
        </w:rPr>
        <w:t>octubre</w:t>
      </w:r>
      <w:r>
        <w:rPr>
          <w:b w:val="0"/>
          <w:szCs w:val="24"/>
        </w:rPr>
        <w:t xml:space="preserve"> </w:t>
      </w:r>
      <w:r w:rsidR="0001758D">
        <w:rPr>
          <w:b w:val="0"/>
          <w:szCs w:val="24"/>
        </w:rPr>
        <w:t xml:space="preserve">2012 </w:t>
      </w:r>
      <w:r>
        <w:rPr>
          <w:b w:val="0"/>
          <w:szCs w:val="24"/>
        </w:rPr>
        <w:t xml:space="preserve">a </w:t>
      </w:r>
      <w:r w:rsidR="0001758D">
        <w:rPr>
          <w:b w:val="0"/>
          <w:szCs w:val="24"/>
        </w:rPr>
        <w:t>septiemb</w:t>
      </w:r>
      <w:r>
        <w:rPr>
          <w:b w:val="0"/>
          <w:szCs w:val="24"/>
        </w:rPr>
        <w:t>re</w:t>
      </w:r>
      <w:r w:rsidR="0001758D">
        <w:rPr>
          <w:b w:val="0"/>
          <w:szCs w:val="24"/>
        </w:rPr>
        <w:t xml:space="preserve"> 2013</w:t>
      </w:r>
      <w:r>
        <w:rPr>
          <w:b w:val="0"/>
          <w:szCs w:val="24"/>
        </w:rPr>
        <w:t>):</w:t>
      </w:r>
    </w:p>
    <w:p w:rsidR="00DB148A" w:rsidRPr="00DB148A" w:rsidRDefault="00DB148A" w:rsidP="00FF6CA3">
      <w:pPr>
        <w:widowControl w:val="0"/>
        <w:spacing w:after="200" w:line="276" w:lineRule="auto"/>
        <w:jc w:val="both"/>
        <w:rPr>
          <w:b w:val="0"/>
          <w:szCs w:val="24"/>
          <w:u w:val="single"/>
        </w:rPr>
      </w:pPr>
      <w:r w:rsidRPr="00DB148A">
        <w:rPr>
          <w:b w:val="0"/>
          <w:szCs w:val="24"/>
          <w:u w:val="single"/>
        </w:rPr>
        <w:t>LOGROS ÁREA PROGRAMÁTICA</w:t>
      </w:r>
      <w:r>
        <w:rPr>
          <w:b w:val="0"/>
          <w:szCs w:val="24"/>
          <w:u w:val="single"/>
        </w:rPr>
        <w:t>:</w:t>
      </w:r>
    </w:p>
    <w:p w:rsidR="005E2CF6" w:rsidRPr="005E2CF6" w:rsidRDefault="005E2CF6" w:rsidP="005E2CF6">
      <w:pPr>
        <w:widowControl w:val="0"/>
        <w:spacing w:after="200" w:line="276" w:lineRule="auto"/>
        <w:jc w:val="both"/>
        <w:rPr>
          <w:szCs w:val="24"/>
          <w:lang w:val="es-ES"/>
        </w:rPr>
      </w:pPr>
      <w:bookmarkStart w:id="1" w:name="_Toc453683081"/>
      <w:bookmarkStart w:id="2" w:name="_Toc453747572"/>
      <w:r w:rsidRPr="005E2CF6">
        <w:rPr>
          <w:szCs w:val="24"/>
          <w:lang w:val="es-ES"/>
        </w:rPr>
        <w:t>Solicitudes Nuevas</w:t>
      </w:r>
      <w:bookmarkEnd w:id="1"/>
      <w:bookmarkEnd w:id="2"/>
    </w:p>
    <w:p w:rsidR="005E2CF6" w:rsidRPr="005E2CF6" w:rsidRDefault="005E2CF6" w:rsidP="005E2CF6">
      <w:pPr>
        <w:widowControl w:val="0"/>
        <w:numPr>
          <w:ilvl w:val="0"/>
          <w:numId w:val="42"/>
        </w:numPr>
        <w:spacing w:after="200" w:line="276" w:lineRule="auto"/>
        <w:jc w:val="both"/>
        <w:rPr>
          <w:b w:val="0"/>
          <w:szCs w:val="24"/>
          <w:lang w:val="es-ES"/>
        </w:rPr>
      </w:pPr>
      <w:r w:rsidRPr="005E2CF6">
        <w:rPr>
          <w:b w:val="0"/>
          <w:szCs w:val="24"/>
          <w:lang w:val="es-ES"/>
        </w:rPr>
        <w:t xml:space="preserve">Se  atendieron  un total de </w:t>
      </w:r>
      <w:r w:rsidRPr="005E2CF6">
        <w:rPr>
          <w:bCs/>
          <w:szCs w:val="24"/>
          <w:lang w:val="es-ES"/>
        </w:rPr>
        <w:t>46,089</w:t>
      </w:r>
      <w:r w:rsidRPr="005E2CF6">
        <w:rPr>
          <w:b w:val="0"/>
          <w:szCs w:val="24"/>
          <w:lang w:val="es-ES"/>
        </w:rPr>
        <w:t xml:space="preserve"> solicitudes nuevas durante los </w:t>
      </w:r>
      <w:r w:rsidRPr="005E2CF6">
        <w:rPr>
          <w:b w:val="0"/>
          <w:szCs w:val="24"/>
          <w:lang w:val="es-ES"/>
        </w:rPr>
        <w:lastRenderedPageBreak/>
        <w:t xml:space="preserve">años fiscales 2013 al  2016.  </w:t>
      </w:r>
    </w:p>
    <w:p w:rsidR="005E2CF6" w:rsidRPr="005E2CF6" w:rsidRDefault="005E2CF6" w:rsidP="005E2CF6">
      <w:pPr>
        <w:widowControl w:val="0"/>
        <w:numPr>
          <w:ilvl w:val="0"/>
          <w:numId w:val="42"/>
        </w:numPr>
        <w:spacing w:after="200" w:line="276" w:lineRule="auto"/>
        <w:jc w:val="both"/>
        <w:rPr>
          <w:b w:val="0"/>
          <w:szCs w:val="24"/>
          <w:lang w:val="es-ES"/>
        </w:rPr>
      </w:pPr>
      <w:r w:rsidRPr="005E2CF6">
        <w:rPr>
          <w:b w:val="0"/>
          <w:szCs w:val="24"/>
          <w:lang w:val="es-ES"/>
        </w:rPr>
        <w:t>El promedio por año de las solicitudes nuevas atendidas fue de</w:t>
      </w:r>
      <w:r w:rsidRPr="005E2CF6">
        <w:rPr>
          <w:szCs w:val="24"/>
          <w:lang w:val="es-ES"/>
        </w:rPr>
        <w:t xml:space="preserve"> 11,522</w:t>
      </w:r>
      <w:r w:rsidRPr="005E2CF6">
        <w:rPr>
          <w:b w:val="0"/>
          <w:szCs w:val="24"/>
          <w:lang w:val="es-ES"/>
        </w:rPr>
        <w:t>.</w:t>
      </w:r>
    </w:p>
    <w:p w:rsidR="005E2CF6" w:rsidRPr="005E2CF6" w:rsidRDefault="005E2CF6" w:rsidP="005E2CF6">
      <w:pPr>
        <w:widowControl w:val="0"/>
        <w:numPr>
          <w:ilvl w:val="0"/>
          <w:numId w:val="42"/>
        </w:numPr>
        <w:spacing w:after="200" w:line="276" w:lineRule="auto"/>
        <w:jc w:val="both"/>
        <w:rPr>
          <w:b w:val="0"/>
          <w:szCs w:val="24"/>
          <w:lang w:val="es-ES"/>
        </w:rPr>
      </w:pPr>
      <w:r w:rsidRPr="005E2CF6">
        <w:rPr>
          <w:b w:val="0"/>
          <w:szCs w:val="24"/>
          <w:lang w:val="es-ES"/>
        </w:rPr>
        <w:t xml:space="preserve">Hubo un aumento de un </w:t>
      </w:r>
      <w:r w:rsidRPr="005E2CF6">
        <w:rPr>
          <w:szCs w:val="24"/>
          <w:lang w:val="es-ES"/>
        </w:rPr>
        <w:t>3.7%</w:t>
      </w:r>
      <w:r w:rsidRPr="005E2CF6">
        <w:rPr>
          <w:b w:val="0"/>
          <w:szCs w:val="24"/>
          <w:lang w:val="es-ES"/>
        </w:rPr>
        <w:t xml:space="preserve"> (</w:t>
      </w:r>
      <w:r w:rsidRPr="005E2CF6">
        <w:rPr>
          <w:bCs/>
          <w:szCs w:val="24"/>
          <w:lang w:val="es-ES"/>
        </w:rPr>
        <w:t xml:space="preserve">411) </w:t>
      </w:r>
      <w:r w:rsidRPr="005E2CF6">
        <w:rPr>
          <w:b w:val="0"/>
          <w:bCs/>
          <w:szCs w:val="24"/>
          <w:lang w:val="es-ES"/>
        </w:rPr>
        <w:t>en las</w:t>
      </w:r>
      <w:r w:rsidRPr="005E2CF6">
        <w:rPr>
          <w:b w:val="0"/>
          <w:szCs w:val="24"/>
          <w:lang w:val="es-ES"/>
        </w:rPr>
        <w:t xml:space="preserve"> solicitudes nuevas atendidas en comparación con el año fiscal 2012.</w:t>
      </w:r>
    </w:p>
    <w:p w:rsidR="005E2CF6" w:rsidRPr="005E2CF6" w:rsidRDefault="005E2CF6" w:rsidP="005E2CF6">
      <w:pPr>
        <w:widowControl w:val="0"/>
        <w:spacing w:after="200" w:line="276" w:lineRule="auto"/>
        <w:jc w:val="both"/>
        <w:rPr>
          <w:szCs w:val="24"/>
          <w:lang w:val="es-ES"/>
        </w:rPr>
      </w:pPr>
      <w:bookmarkStart w:id="3" w:name="_Toc453683082"/>
      <w:bookmarkStart w:id="4" w:name="_Toc453747573"/>
      <w:r w:rsidRPr="005E2CF6">
        <w:rPr>
          <w:szCs w:val="24"/>
          <w:lang w:val="es-ES"/>
        </w:rPr>
        <w:t>Determinaciones de Elegibilidad</w:t>
      </w:r>
      <w:bookmarkEnd w:id="3"/>
      <w:bookmarkEnd w:id="4"/>
    </w:p>
    <w:p w:rsidR="005E2CF6" w:rsidRPr="005E2CF6" w:rsidRDefault="005E2CF6" w:rsidP="005E2CF6">
      <w:pPr>
        <w:widowControl w:val="0"/>
        <w:numPr>
          <w:ilvl w:val="0"/>
          <w:numId w:val="43"/>
        </w:numPr>
        <w:spacing w:after="200" w:line="276" w:lineRule="auto"/>
        <w:jc w:val="both"/>
        <w:rPr>
          <w:b w:val="0"/>
          <w:szCs w:val="24"/>
          <w:lang w:val="es-ES"/>
        </w:rPr>
      </w:pPr>
      <w:r w:rsidRPr="005E2CF6">
        <w:rPr>
          <w:b w:val="0"/>
          <w:szCs w:val="24"/>
          <w:lang w:val="es-ES"/>
        </w:rPr>
        <w:t xml:space="preserve">Durante los años fiscales 2013 al 2016, un total de </w:t>
      </w:r>
      <w:r w:rsidRPr="005E2CF6">
        <w:rPr>
          <w:bCs/>
          <w:szCs w:val="24"/>
          <w:lang w:val="es-ES"/>
        </w:rPr>
        <w:t xml:space="preserve">36,957 </w:t>
      </w:r>
      <w:r w:rsidRPr="005E2CF6">
        <w:rPr>
          <w:b w:val="0"/>
          <w:bCs/>
          <w:szCs w:val="24"/>
          <w:lang w:val="es-ES"/>
        </w:rPr>
        <w:t>solicitantes</w:t>
      </w:r>
      <w:r w:rsidRPr="005E2CF6">
        <w:rPr>
          <w:bCs/>
          <w:szCs w:val="24"/>
          <w:lang w:val="es-ES"/>
        </w:rPr>
        <w:t xml:space="preserve"> </w:t>
      </w:r>
      <w:r w:rsidRPr="005E2CF6">
        <w:rPr>
          <w:b w:val="0"/>
          <w:bCs/>
          <w:szCs w:val="24"/>
          <w:lang w:val="es-ES"/>
        </w:rPr>
        <w:t xml:space="preserve">fueron </w:t>
      </w:r>
      <w:r w:rsidRPr="005E2CF6">
        <w:rPr>
          <w:b w:val="0"/>
          <w:szCs w:val="24"/>
          <w:lang w:val="es-ES"/>
        </w:rPr>
        <w:t xml:space="preserve">determinados elegibles a los servicios de rehabilitación vocacional.  </w:t>
      </w:r>
    </w:p>
    <w:p w:rsidR="00F322A4" w:rsidRDefault="005E2CF6" w:rsidP="00F322A4">
      <w:pPr>
        <w:widowControl w:val="0"/>
        <w:numPr>
          <w:ilvl w:val="0"/>
          <w:numId w:val="43"/>
        </w:numPr>
        <w:spacing w:line="276" w:lineRule="auto"/>
        <w:jc w:val="both"/>
        <w:rPr>
          <w:b w:val="0"/>
          <w:szCs w:val="24"/>
          <w:lang w:val="es-ES"/>
        </w:rPr>
      </w:pPr>
      <w:r w:rsidRPr="005E2CF6">
        <w:rPr>
          <w:b w:val="0"/>
          <w:szCs w:val="24"/>
          <w:lang w:val="es-ES"/>
        </w:rPr>
        <w:t>Un promedio de</w:t>
      </w:r>
      <w:r w:rsidRPr="005E2CF6">
        <w:rPr>
          <w:szCs w:val="24"/>
          <w:lang w:val="es-ES"/>
        </w:rPr>
        <w:t xml:space="preserve"> 9,239 </w:t>
      </w:r>
      <w:r w:rsidRPr="005E2CF6">
        <w:rPr>
          <w:b w:val="0"/>
          <w:szCs w:val="24"/>
          <w:lang w:val="es-ES"/>
        </w:rPr>
        <w:t>determinaciones de elegibilidad se atendieron anualmente</w:t>
      </w:r>
      <w:r w:rsidRPr="005E2CF6">
        <w:rPr>
          <w:bCs/>
          <w:szCs w:val="24"/>
          <w:lang w:val="es-ES"/>
        </w:rPr>
        <w:t>.</w:t>
      </w:r>
    </w:p>
    <w:p w:rsidR="00F322A4" w:rsidRPr="00F322A4" w:rsidRDefault="00F322A4" w:rsidP="00F322A4">
      <w:pPr>
        <w:widowControl w:val="0"/>
        <w:spacing w:line="276" w:lineRule="auto"/>
        <w:ind w:left="720"/>
        <w:jc w:val="both"/>
        <w:rPr>
          <w:b w:val="0"/>
          <w:szCs w:val="24"/>
          <w:lang w:val="es-ES"/>
        </w:rPr>
      </w:pPr>
    </w:p>
    <w:p w:rsidR="005E2CF6" w:rsidRPr="00F10C9C" w:rsidRDefault="00F10C9C" w:rsidP="00FF6CA3">
      <w:pPr>
        <w:widowControl w:val="0"/>
        <w:spacing w:after="200" w:line="276" w:lineRule="auto"/>
        <w:jc w:val="both"/>
        <w:rPr>
          <w:szCs w:val="24"/>
          <w:lang w:val="es-ES"/>
        </w:rPr>
      </w:pPr>
      <w:r w:rsidRPr="00F10C9C">
        <w:rPr>
          <w:szCs w:val="24"/>
          <w:lang w:val="es-ES"/>
        </w:rPr>
        <w:t>Tasa De Elegibilidad</w:t>
      </w:r>
    </w:p>
    <w:p w:rsidR="005E2CF6" w:rsidRDefault="00F10C9C" w:rsidP="00FF6CA3">
      <w:pPr>
        <w:widowControl w:val="0"/>
        <w:spacing w:after="200" w:line="276" w:lineRule="auto"/>
        <w:jc w:val="both"/>
        <w:rPr>
          <w:b w:val="0"/>
          <w:szCs w:val="24"/>
        </w:rPr>
      </w:pPr>
      <w:r w:rsidRPr="00F10C9C">
        <w:rPr>
          <w:b w:val="0"/>
          <w:szCs w:val="24"/>
        </w:rPr>
        <w:t>La tasa de elegibilidad en 60 días o menos se mantuvo por encima del 95% durante los años fiscales 2013 al 2016</w:t>
      </w:r>
      <w:r>
        <w:rPr>
          <w:b w:val="0"/>
          <w:szCs w:val="24"/>
        </w:rPr>
        <w:t>.</w:t>
      </w:r>
    </w:p>
    <w:p w:rsidR="00F10C9C" w:rsidRPr="00F10C9C" w:rsidRDefault="00F10C9C" w:rsidP="00F10C9C">
      <w:pPr>
        <w:widowControl w:val="0"/>
        <w:spacing w:after="200" w:line="276" w:lineRule="auto"/>
        <w:jc w:val="both"/>
        <w:rPr>
          <w:szCs w:val="24"/>
          <w:lang w:val="es-ES"/>
        </w:rPr>
      </w:pPr>
      <w:bookmarkStart w:id="5" w:name="_Toc453683084"/>
      <w:bookmarkStart w:id="6" w:name="_Toc453747575"/>
      <w:r w:rsidRPr="00F10C9C">
        <w:rPr>
          <w:szCs w:val="24"/>
          <w:lang w:val="es-ES"/>
        </w:rPr>
        <w:t>Tasa de Planes</w:t>
      </w:r>
      <w:bookmarkEnd w:id="5"/>
      <w:bookmarkEnd w:id="6"/>
    </w:p>
    <w:p w:rsidR="00F10C9C" w:rsidRPr="00F10C9C" w:rsidRDefault="00F10C9C" w:rsidP="00F10C9C">
      <w:pPr>
        <w:widowControl w:val="0"/>
        <w:spacing w:after="200" w:line="276" w:lineRule="auto"/>
        <w:jc w:val="both"/>
        <w:rPr>
          <w:b w:val="0"/>
          <w:szCs w:val="24"/>
          <w:lang w:val="es-ES"/>
        </w:rPr>
      </w:pPr>
      <w:r w:rsidRPr="00F10C9C">
        <w:rPr>
          <w:b w:val="0"/>
          <w:szCs w:val="24"/>
          <w:lang w:val="es-ES"/>
        </w:rPr>
        <w:t>La</w:t>
      </w:r>
      <w:r>
        <w:rPr>
          <w:b w:val="0"/>
          <w:szCs w:val="24"/>
          <w:lang w:val="es-ES"/>
        </w:rPr>
        <w:t>s</w:t>
      </w:r>
      <w:r w:rsidRPr="00F10C9C">
        <w:rPr>
          <w:b w:val="0"/>
          <w:szCs w:val="24"/>
          <w:lang w:val="es-ES"/>
        </w:rPr>
        <w:t xml:space="preserve"> enmienda</w:t>
      </w:r>
      <w:r>
        <w:rPr>
          <w:b w:val="0"/>
          <w:szCs w:val="24"/>
          <w:lang w:val="es-ES"/>
        </w:rPr>
        <w:t>s</w:t>
      </w:r>
      <w:r w:rsidRPr="00F10C9C">
        <w:rPr>
          <w:b w:val="0"/>
          <w:szCs w:val="24"/>
          <w:lang w:val="es-ES"/>
        </w:rPr>
        <w:t xml:space="preserve"> </w:t>
      </w:r>
      <w:r>
        <w:rPr>
          <w:b w:val="0"/>
          <w:szCs w:val="24"/>
          <w:lang w:val="es-ES"/>
        </w:rPr>
        <w:t xml:space="preserve">del año 2014 </w:t>
      </w:r>
      <w:r w:rsidRPr="00F10C9C">
        <w:rPr>
          <w:b w:val="0"/>
          <w:szCs w:val="24"/>
          <w:lang w:val="es-ES"/>
        </w:rPr>
        <w:t>a la Ley de Rehabilitación</w:t>
      </w:r>
      <w:r>
        <w:rPr>
          <w:b w:val="0"/>
          <w:szCs w:val="24"/>
          <w:lang w:val="es-ES"/>
        </w:rPr>
        <w:t>, establecieron</w:t>
      </w:r>
      <w:r w:rsidRPr="00F10C9C">
        <w:rPr>
          <w:b w:val="0"/>
          <w:szCs w:val="24"/>
          <w:lang w:val="es-ES"/>
        </w:rPr>
        <w:t xml:space="preserve"> un nuevo periodo para el desarrollo del Plan Individualizado Para Empleo (PIPE).  En las mismas se establece que el PIPE debe ser desarrollado tan pronto sea posible, pero no más tarde de 90 días a partir de la determinación de elegibilidad</w:t>
      </w:r>
      <w:r>
        <w:rPr>
          <w:b w:val="0"/>
          <w:szCs w:val="24"/>
          <w:lang w:val="es-ES"/>
        </w:rPr>
        <w:t>,</w:t>
      </w:r>
      <w:r w:rsidRPr="00F10C9C">
        <w:rPr>
          <w:b w:val="0"/>
          <w:szCs w:val="24"/>
          <w:lang w:val="es-ES"/>
        </w:rPr>
        <w:t xml:space="preserve"> a menos que se establezca un periodo de extensión, en común acuerdo entre el consumidor y la ARV. A partir del AF 2015 se comenzó a considerar los 90 días</w:t>
      </w:r>
      <w:r w:rsidR="004967EE">
        <w:rPr>
          <w:b w:val="0"/>
          <w:szCs w:val="24"/>
          <w:lang w:val="es-ES"/>
        </w:rPr>
        <w:t xml:space="preserve"> (en lugar de 120</w:t>
      </w:r>
      <w:r w:rsidR="00991BBC">
        <w:rPr>
          <w:b w:val="0"/>
          <w:szCs w:val="24"/>
          <w:lang w:val="es-ES"/>
        </w:rPr>
        <w:t xml:space="preserve"> días</w:t>
      </w:r>
      <w:r w:rsidR="004967EE">
        <w:rPr>
          <w:b w:val="0"/>
          <w:szCs w:val="24"/>
          <w:lang w:val="es-ES"/>
        </w:rPr>
        <w:t>)</w:t>
      </w:r>
      <w:r w:rsidRPr="00F10C9C">
        <w:rPr>
          <w:b w:val="0"/>
          <w:szCs w:val="24"/>
          <w:lang w:val="es-ES"/>
        </w:rPr>
        <w:t xml:space="preserve"> para el desarrollo del Plan de Servicios.</w:t>
      </w:r>
    </w:p>
    <w:p w:rsidR="00F10C9C" w:rsidRPr="00F10C9C" w:rsidRDefault="00991BBC" w:rsidP="00991BBC">
      <w:pPr>
        <w:widowControl w:val="0"/>
        <w:numPr>
          <w:ilvl w:val="0"/>
          <w:numId w:val="44"/>
        </w:numPr>
        <w:spacing w:after="200" w:line="276" w:lineRule="auto"/>
        <w:jc w:val="both"/>
        <w:rPr>
          <w:b w:val="0"/>
          <w:szCs w:val="24"/>
          <w:lang w:val="es-ES"/>
        </w:rPr>
      </w:pPr>
      <w:r w:rsidRPr="00991BBC">
        <w:rPr>
          <w:b w:val="0"/>
          <w:szCs w:val="24"/>
          <w:lang w:val="es-ES"/>
        </w:rPr>
        <w:t>La tasa de Planes desarrollados tanto en 120 como en 90 días se mantuvo sobre un 90% durante los años fiscales 2013 al 2016, con excepción del año 2015 donde se estableció el cambio en el número de días</w:t>
      </w:r>
      <w:r w:rsidR="00F10C9C" w:rsidRPr="00F10C9C">
        <w:rPr>
          <w:b w:val="0"/>
          <w:i/>
          <w:iCs/>
          <w:szCs w:val="24"/>
          <w:lang w:val="es-ES"/>
        </w:rPr>
        <w:t xml:space="preserve">. </w:t>
      </w:r>
    </w:p>
    <w:p w:rsidR="00F10C9C" w:rsidRPr="00F10C9C" w:rsidRDefault="00F10C9C" w:rsidP="00F10C9C">
      <w:pPr>
        <w:widowControl w:val="0"/>
        <w:spacing w:after="200" w:line="276" w:lineRule="auto"/>
        <w:jc w:val="both"/>
        <w:rPr>
          <w:szCs w:val="24"/>
          <w:lang w:val="es-ES"/>
        </w:rPr>
      </w:pPr>
      <w:r w:rsidRPr="00F10C9C">
        <w:rPr>
          <w:szCs w:val="24"/>
          <w:lang w:val="es-ES"/>
        </w:rPr>
        <w:t>Consumidores Con Resultado De Empleo</w:t>
      </w:r>
    </w:p>
    <w:p w:rsidR="00F10C9C" w:rsidRPr="00F10C9C" w:rsidRDefault="00F10C9C" w:rsidP="007E6B4F">
      <w:pPr>
        <w:widowControl w:val="0"/>
        <w:spacing w:after="200" w:line="276" w:lineRule="auto"/>
        <w:jc w:val="both"/>
        <w:rPr>
          <w:b w:val="0"/>
          <w:szCs w:val="24"/>
          <w:lang w:val="es-ES"/>
        </w:rPr>
      </w:pPr>
      <w:r w:rsidRPr="00F10C9C">
        <w:rPr>
          <w:b w:val="0"/>
          <w:szCs w:val="24"/>
          <w:lang w:val="es-ES"/>
        </w:rPr>
        <w:t>Duran</w:t>
      </w:r>
      <w:r w:rsidR="00F322A4">
        <w:rPr>
          <w:b w:val="0"/>
          <w:szCs w:val="24"/>
          <w:lang w:val="es-ES"/>
        </w:rPr>
        <w:t>te el periodo de octubre de 2012</w:t>
      </w:r>
      <w:r w:rsidRPr="00F10C9C">
        <w:rPr>
          <w:b w:val="0"/>
          <w:szCs w:val="24"/>
          <w:lang w:val="es-ES"/>
        </w:rPr>
        <w:t xml:space="preserve"> a septiembre de 2016 se logró que 12,153 consumidores obtuvieran un resultado de empleo</w:t>
      </w:r>
      <w:r>
        <w:rPr>
          <w:b w:val="0"/>
          <w:szCs w:val="24"/>
          <w:lang w:val="es-ES"/>
        </w:rPr>
        <w:t xml:space="preserve"> bajo las siguientes categorías:</w:t>
      </w:r>
    </w:p>
    <w:tbl>
      <w:tblPr>
        <w:tblStyle w:val="LightShading-Accent31"/>
        <w:tblW w:w="9068" w:type="dxa"/>
        <w:tblLook w:val="04A0" w:firstRow="1" w:lastRow="0" w:firstColumn="1" w:lastColumn="0" w:noHBand="0" w:noVBand="1"/>
      </w:tblPr>
      <w:tblGrid>
        <w:gridCol w:w="4240"/>
        <w:gridCol w:w="1207"/>
        <w:gridCol w:w="1207"/>
        <w:gridCol w:w="1207"/>
        <w:gridCol w:w="1207"/>
      </w:tblGrid>
      <w:tr w:rsidR="00F10C9C" w:rsidRPr="00F322A4" w:rsidTr="00B84785">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40" w:type="dxa"/>
          </w:tcPr>
          <w:p w:rsidR="00F10C9C" w:rsidRPr="00F322A4" w:rsidRDefault="00F10C9C" w:rsidP="00F10C9C">
            <w:pPr>
              <w:spacing w:before="120" w:after="120"/>
              <w:jc w:val="both"/>
              <w:rPr>
                <w:iCs/>
                <w:color w:val="1D1B11" w:themeColor="background2" w:themeShade="1A"/>
                <w:spacing w:val="20"/>
                <w:sz w:val="22"/>
                <w:szCs w:val="22"/>
                <w:lang w:val="es-ES"/>
              </w:rPr>
            </w:pPr>
          </w:p>
        </w:tc>
        <w:tc>
          <w:tcPr>
            <w:tcW w:w="1207" w:type="dxa"/>
            <w:vAlign w:val="center"/>
          </w:tcPr>
          <w:p w:rsidR="00F10C9C" w:rsidRPr="00F322A4" w:rsidRDefault="00F10C9C" w:rsidP="00F10C9C">
            <w:pPr>
              <w:jc w:val="center"/>
              <w:cnfStyle w:val="100000000000" w:firstRow="1" w:lastRow="0" w:firstColumn="0" w:lastColumn="0" w:oddVBand="0" w:evenVBand="0" w:oddHBand="0" w:evenHBand="0" w:firstRowFirstColumn="0" w:firstRowLastColumn="0" w:lastRowFirstColumn="0" w:lastRowLastColumn="0"/>
              <w:rPr>
                <w:color w:val="1D1B11" w:themeColor="background2" w:themeShade="1A"/>
                <w:spacing w:val="22"/>
                <w:sz w:val="22"/>
                <w:szCs w:val="22"/>
                <w:u w:val="single"/>
                <w:lang w:val="en-US"/>
              </w:rPr>
            </w:pPr>
            <w:r w:rsidRPr="00F322A4">
              <w:rPr>
                <w:color w:val="1D1B11" w:themeColor="background2" w:themeShade="1A"/>
                <w:spacing w:val="22"/>
                <w:sz w:val="22"/>
                <w:szCs w:val="22"/>
                <w:u w:val="single"/>
                <w:lang w:val="en-US"/>
              </w:rPr>
              <w:t>AF 2013</w:t>
            </w:r>
          </w:p>
        </w:tc>
        <w:tc>
          <w:tcPr>
            <w:tcW w:w="1207" w:type="dxa"/>
            <w:vAlign w:val="center"/>
          </w:tcPr>
          <w:p w:rsidR="00F10C9C" w:rsidRPr="00F322A4" w:rsidRDefault="00F10C9C" w:rsidP="00F10C9C">
            <w:pPr>
              <w:jc w:val="center"/>
              <w:cnfStyle w:val="100000000000" w:firstRow="1" w:lastRow="0" w:firstColumn="0" w:lastColumn="0" w:oddVBand="0" w:evenVBand="0" w:oddHBand="0" w:evenHBand="0" w:firstRowFirstColumn="0" w:firstRowLastColumn="0" w:lastRowFirstColumn="0" w:lastRowLastColumn="0"/>
              <w:rPr>
                <w:color w:val="1D1B11" w:themeColor="background2" w:themeShade="1A"/>
                <w:spacing w:val="22"/>
                <w:sz w:val="22"/>
                <w:szCs w:val="22"/>
                <w:u w:val="single"/>
                <w:lang w:val="en-US"/>
              </w:rPr>
            </w:pPr>
            <w:r w:rsidRPr="00F322A4">
              <w:rPr>
                <w:color w:val="1D1B11" w:themeColor="background2" w:themeShade="1A"/>
                <w:spacing w:val="22"/>
                <w:sz w:val="22"/>
                <w:szCs w:val="22"/>
                <w:u w:val="single"/>
                <w:lang w:val="en-US"/>
              </w:rPr>
              <w:t>AF 2014</w:t>
            </w:r>
          </w:p>
        </w:tc>
        <w:tc>
          <w:tcPr>
            <w:tcW w:w="1207" w:type="dxa"/>
            <w:vAlign w:val="center"/>
          </w:tcPr>
          <w:p w:rsidR="00F10C9C" w:rsidRPr="00F322A4" w:rsidRDefault="00F10C9C" w:rsidP="00F10C9C">
            <w:pPr>
              <w:jc w:val="center"/>
              <w:cnfStyle w:val="100000000000" w:firstRow="1" w:lastRow="0" w:firstColumn="0" w:lastColumn="0" w:oddVBand="0" w:evenVBand="0" w:oddHBand="0" w:evenHBand="0" w:firstRowFirstColumn="0" w:firstRowLastColumn="0" w:lastRowFirstColumn="0" w:lastRowLastColumn="0"/>
              <w:rPr>
                <w:color w:val="1D1B11" w:themeColor="background2" w:themeShade="1A"/>
                <w:spacing w:val="22"/>
                <w:sz w:val="22"/>
                <w:szCs w:val="22"/>
                <w:u w:val="single"/>
                <w:lang w:val="en-US"/>
              </w:rPr>
            </w:pPr>
            <w:r w:rsidRPr="00F322A4">
              <w:rPr>
                <w:color w:val="1D1B11" w:themeColor="background2" w:themeShade="1A"/>
                <w:spacing w:val="22"/>
                <w:sz w:val="22"/>
                <w:szCs w:val="22"/>
                <w:u w:val="single"/>
                <w:lang w:val="en-US"/>
              </w:rPr>
              <w:t>AF 2015</w:t>
            </w:r>
          </w:p>
        </w:tc>
        <w:tc>
          <w:tcPr>
            <w:tcW w:w="1207" w:type="dxa"/>
            <w:vAlign w:val="center"/>
          </w:tcPr>
          <w:p w:rsidR="00F10C9C" w:rsidRPr="00F322A4" w:rsidRDefault="00F10C9C" w:rsidP="00F10C9C">
            <w:pPr>
              <w:jc w:val="center"/>
              <w:cnfStyle w:val="100000000000" w:firstRow="1" w:lastRow="0" w:firstColumn="0" w:lastColumn="0" w:oddVBand="0" w:evenVBand="0" w:oddHBand="0" w:evenHBand="0" w:firstRowFirstColumn="0" w:firstRowLastColumn="0" w:lastRowFirstColumn="0" w:lastRowLastColumn="0"/>
              <w:rPr>
                <w:color w:val="1D1B11" w:themeColor="background2" w:themeShade="1A"/>
                <w:spacing w:val="22"/>
                <w:sz w:val="22"/>
                <w:szCs w:val="22"/>
                <w:u w:val="single"/>
                <w:lang w:val="en-US"/>
              </w:rPr>
            </w:pPr>
            <w:r w:rsidRPr="00F322A4">
              <w:rPr>
                <w:color w:val="1D1B11" w:themeColor="background2" w:themeShade="1A"/>
                <w:spacing w:val="22"/>
                <w:sz w:val="22"/>
                <w:szCs w:val="22"/>
                <w:u w:val="single"/>
                <w:lang w:val="en-US"/>
              </w:rPr>
              <w:t>AF 2016</w:t>
            </w:r>
          </w:p>
        </w:tc>
      </w:tr>
      <w:tr w:rsidR="00F10C9C" w:rsidRPr="00F322A4" w:rsidTr="00B84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0" w:type="dxa"/>
          </w:tcPr>
          <w:p w:rsidR="00F10C9C" w:rsidRPr="00F322A4" w:rsidRDefault="00F10C9C" w:rsidP="00F10C9C">
            <w:pPr>
              <w:spacing w:before="120" w:after="120"/>
              <w:jc w:val="both"/>
              <w:rPr>
                <w:iCs/>
                <w:color w:val="1D1B11" w:themeColor="background2" w:themeShade="1A"/>
                <w:spacing w:val="20"/>
                <w:sz w:val="22"/>
                <w:szCs w:val="22"/>
                <w:lang w:val="es-ES"/>
              </w:rPr>
            </w:pPr>
            <w:r w:rsidRPr="00F322A4">
              <w:rPr>
                <w:iCs/>
                <w:color w:val="1D1B11" w:themeColor="background2" w:themeShade="1A"/>
                <w:spacing w:val="20"/>
                <w:sz w:val="22"/>
                <w:szCs w:val="22"/>
                <w:lang w:val="es-ES"/>
              </w:rPr>
              <w:t xml:space="preserve">Empleo Regular </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2,410</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2,466</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2,527</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2,785</w:t>
            </w:r>
          </w:p>
        </w:tc>
      </w:tr>
      <w:tr w:rsidR="00F10C9C" w:rsidRPr="00F322A4" w:rsidTr="00B84785">
        <w:trPr>
          <w:trHeight w:val="422"/>
        </w:trPr>
        <w:tc>
          <w:tcPr>
            <w:cnfStyle w:val="001000000000" w:firstRow="0" w:lastRow="0" w:firstColumn="1" w:lastColumn="0" w:oddVBand="0" w:evenVBand="0" w:oddHBand="0" w:evenHBand="0" w:firstRowFirstColumn="0" w:firstRowLastColumn="0" w:lastRowFirstColumn="0" w:lastRowLastColumn="0"/>
            <w:tcW w:w="4240" w:type="dxa"/>
          </w:tcPr>
          <w:p w:rsidR="00F10C9C" w:rsidRPr="00F322A4" w:rsidRDefault="00F10C9C" w:rsidP="00F10C9C">
            <w:pPr>
              <w:spacing w:before="120" w:after="120"/>
              <w:jc w:val="both"/>
              <w:rPr>
                <w:iCs/>
                <w:color w:val="1D1B11" w:themeColor="background2" w:themeShade="1A"/>
                <w:spacing w:val="20"/>
                <w:sz w:val="22"/>
                <w:szCs w:val="22"/>
                <w:lang w:val="es-ES"/>
              </w:rPr>
            </w:pPr>
            <w:r w:rsidRPr="00F322A4">
              <w:rPr>
                <w:iCs/>
                <w:color w:val="1D1B11" w:themeColor="background2" w:themeShade="1A"/>
                <w:spacing w:val="20"/>
                <w:sz w:val="22"/>
                <w:szCs w:val="22"/>
                <w:lang w:val="es-ES"/>
              </w:rPr>
              <w:t xml:space="preserve">Empleo Sostenido </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179</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155</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136</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142</w:t>
            </w:r>
          </w:p>
        </w:tc>
      </w:tr>
      <w:tr w:rsidR="00F10C9C" w:rsidRPr="00F322A4" w:rsidTr="00B84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0" w:type="dxa"/>
          </w:tcPr>
          <w:p w:rsidR="00F10C9C" w:rsidRPr="00F322A4" w:rsidRDefault="00F10C9C" w:rsidP="00F10C9C">
            <w:pPr>
              <w:spacing w:before="120" w:after="120"/>
              <w:jc w:val="both"/>
              <w:rPr>
                <w:iCs/>
                <w:color w:val="1D1B11" w:themeColor="background2" w:themeShade="1A"/>
                <w:spacing w:val="20"/>
                <w:sz w:val="22"/>
                <w:szCs w:val="22"/>
                <w:lang w:val="es-ES"/>
              </w:rPr>
            </w:pPr>
            <w:r w:rsidRPr="00F322A4">
              <w:rPr>
                <w:iCs/>
                <w:color w:val="1D1B11" w:themeColor="background2" w:themeShade="1A"/>
                <w:spacing w:val="20"/>
                <w:sz w:val="22"/>
                <w:szCs w:val="22"/>
                <w:lang w:val="es-ES"/>
              </w:rPr>
              <w:t>Propio Patrono</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385</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413</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240</w:t>
            </w:r>
          </w:p>
        </w:tc>
        <w:tc>
          <w:tcPr>
            <w:tcW w:w="1207" w:type="dxa"/>
          </w:tcPr>
          <w:p w:rsidR="00F10C9C" w:rsidRPr="00F322A4" w:rsidRDefault="00F10C9C" w:rsidP="00F10C9C">
            <w:pPr>
              <w:cnfStyle w:val="000000100000" w:firstRow="0" w:lastRow="0" w:firstColumn="0" w:lastColumn="0" w:oddVBand="0" w:evenVBand="0" w:oddHBand="1"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193</w:t>
            </w:r>
          </w:p>
        </w:tc>
      </w:tr>
      <w:tr w:rsidR="00F10C9C" w:rsidRPr="00F322A4" w:rsidTr="00B84785">
        <w:trPr>
          <w:trHeight w:val="510"/>
        </w:trPr>
        <w:tc>
          <w:tcPr>
            <w:cnfStyle w:val="001000000000" w:firstRow="0" w:lastRow="0" w:firstColumn="1" w:lastColumn="0" w:oddVBand="0" w:evenVBand="0" w:oddHBand="0" w:evenHBand="0" w:firstRowFirstColumn="0" w:firstRowLastColumn="0" w:lastRowFirstColumn="0" w:lastRowLastColumn="0"/>
            <w:tcW w:w="4240" w:type="dxa"/>
          </w:tcPr>
          <w:p w:rsidR="00F10C9C" w:rsidRPr="00F322A4" w:rsidRDefault="00F10C9C" w:rsidP="00F10C9C">
            <w:pPr>
              <w:spacing w:before="120" w:after="120"/>
              <w:jc w:val="both"/>
              <w:rPr>
                <w:iCs/>
                <w:color w:val="1D1B11" w:themeColor="background2" w:themeShade="1A"/>
                <w:spacing w:val="20"/>
                <w:sz w:val="22"/>
                <w:szCs w:val="22"/>
                <w:lang w:val="es-ES"/>
              </w:rPr>
            </w:pPr>
            <w:r w:rsidRPr="00F322A4">
              <w:rPr>
                <w:iCs/>
                <w:color w:val="1D1B11" w:themeColor="background2" w:themeShade="1A"/>
                <w:spacing w:val="20"/>
                <w:sz w:val="22"/>
                <w:szCs w:val="22"/>
                <w:lang w:val="es-ES"/>
              </w:rPr>
              <w:t xml:space="preserve">Ama de Casa </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52</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28</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40</w:t>
            </w:r>
          </w:p>
        </w:tc>
        <w:tc>
          <w:tcPr>
            <w:tcW w:w="1207" w:type="dxa"/>
          </w:tcPr>
          <w:p w:rsidR="00F10C9C" w:rsidRPr="00F322A4" w:rsidRDefault="00F10C9C" w:rsidP="00F10C9C">
            <w:pPr>
              <w:cnfStyle w:val="000000000000" w:firstRow="0" w:lastRow="0" w:firstColumn="0" w:lastColumn="0" w:oddVBand="0" w:evenVBand="0" w:oddHBand="0" w:evenHBand="0" w:firstRowFirstColumn="0" w:firstRowLastColumn="0" w:lastRowFirstColumn="0" w:lastRowLastColumn="0"/>
              <w:rPr>
                <w:rFonts w:ascii="Garamond" w:hAnsi="Garamond"/>
                <w:b w:val="0"/>
                <w:color w:val="auto"/>
                <w:sz w:val="22"/>
                <w:szCs w:val="22"/>
                <w:lang w:val="en-US"/>
              </w:rPr>
            </w:pPr>
            <w:r w:rsidRPr="00F322A4">
              <w:rPr>
                <w:rFonts w:ascii="Garamond" w:hAnsi="Garamond"/>
                <w:b w:val="0"/>
                <w:color w:val="auto"/>
                <w:sz w:val="22"/>
                <w:szCs w:val="22"/>
                <w:lang w:val="en-US"/>
              </w:rPr>
              <w:t>2</w:t>
            </w:r>
          </w:p>
        </w:tc>
      </w:tr>
    </w:tbl>
    <w:p w:rsidR="00F322A4" w:rsidRDefault="00F322A4" w:rsidP="00FF6CA3">
      <w:pPr>
        <w:widowControl w:val="0"/>
        <w:spacing w:after="200" w:line="276" w:lineRule="auto"/>
        <w:jc w:val="both"/>
        <w:rPr>
          <w:szCs w:val="24"/>
        </w:rPr>
      </w:pPr>
    </w:p>
    <w:p w:rsidR="00F322A4" w:rsidRDefault="00F322A4" w:rsidP="00FF6CA3">
      <w:pPr>
        <w:widowControl w:val="0"/>
        <w:spacing w:after="200" w:line="276" w:lineRule="auto"/>
        <w:jc w:val="both"/>
        <w:rPr>
          <w:szCs w:val="24"/>
        </w:rPr>
      </w:pPr>
    </w:p>
    <w:p w:rsidR="005E2CF6" w:rsidRPr="00DB148A" w:rsidRDefault="00DB148A" w:rsidP="00FF6CA3">
      <w:pPr>
        <w:widowControl w:val="0"/>
        <w:spacing w:after="200" w:line="276" w:lineRule="auto"/>
        <w:jc w:val="both"/>
        <w:rPr>
          <w:szCs w:val="24"/>
        </w:rPr>
      </w:pPr>
      <w:r w:rsidRPr="00DB148A">
        <w:rPr>
          <w:szCs w:val="24"/>
        </w:rPr>
        <w:t>Consumidores en Edad de Transición</w:t>
      </w:r>
    </w:p>
    <w:p w:rsidR="00DB148A" w:rsidRDefault="00DB148A" w:rsidP="00DB148A">
      <w:pPr>
        <w:spacing w:line="276" w:lineRule="auto"/>
        <w:rPr>
          <w:rFonts w:eastAsia="+mn-ea"/>
          <w:b w:val="0"/>
          <w:lang w:val="es-ES" w:eastAsia="es-ES"/>
        </w:rPr>
      </w:pPr>
      <w:r w:rsidRPr="00DB148A">
        <w:rPr>
          <w:rFonts w:eastAsia="+mn-ea"/>
          <w:b w:val="0"/>
          <w:lang w:val="es-ES" w:eastAsia="es-ES"/>
        </w:rPr>
        <w:t xml:space="preserve">Durante el periodo de octubre de </w:t>
      </w:r>
      <w:r w:rsidRPr="004967EE">
        <w:rPr>
          <w:rFonts w:eastAsia="+mn-ea"/>
          <w:b w:val="0"/>
          <w:lang w:val="es-ES" w:eastAsia="es-ES"/>
        </w:rPr>
        <w:t>20</w:t>
      </w:r>
      <w:r w:rsidR="00991BBC">
        <w:rPr>
          <w:rFonts w:eastAsia="+mn-ea"/>
          <w:b w:val="0"/>
          <w:lang w:val="es-ES" w:eastAsia="es-ES"/>
        </w:rPr>
        <w:t>12</w:t>
      </w:r>
      <w:r w:rsidRPr="004967EE">
        <w:rPr>
          <w:rFonts w:eastAsia="+mn-ea"/>
          <w:b w:val="0"/>
          <w:lang w:val="es-ES" w:eastAsia="es-ES"/>
        </w:rPr>
        <w:t xml:space="preserve"> a septiembre de 2016</w:t>
      </w:r>
      <w:r w:rsidRPr="00DB148A">
        <w:rPr>
          <w:rFonts w:eastAsia="+mn-ea"/>
          <w:b w:val="0"/>
          <w:lang w:val="es-ES" w:eastAsia="es-ES"/>
        </w:rPr>
        <w:t xml:space="preserve">, </w:t>
      </w:r>
      <w:r w:rsidR="004967EE" w:rsidRPr="004967EE">
        <w:rPr>
          <w:rFonts w:eastAsia="+mn-ea"/>
          <w:lang w:val="es-ES" w:eastAsia="es-ES"/>
        </w:rPr>
        <w:t>9,388</w:t>
      </w:r>
      <w:r w:rsidR="004967EE" w:rsidRPr="004967EE">
        <w:rPr>
          <w:rFonts w:eastAsia="+mn-ea"/>
          <w:b w:val="0"/>
          <w:lang w:val="es-ES" w:eastAsia="es-ES"/>
        </w:rPr>
        <w:t xml:space="preserve"> jóvenes con impedimentos entre las edades de 14 a 24 años, obtuvieron un resultado de empleo. De éstos 3,421 fueron referidos de las escuelas</w:t>
      </w:r>
      <w:r w:rsidR="004967EE">
        <w:rPr>
          <w:rFonts w:eastAsia="+mn-ea"/>
          <w:b w:val="0"/>
          <w:lang w:val="es-ES" w:eastAsia="es-ES"/>
        </w:rPr>
        <w:t>,</w:t>
      </w:r>
      <w:r w:rsidR="004967EE" w:rsidRPr="004967EE">
        <w:rPr>
          <w:rFonts w:eastAsia="+mn-ea"/>
          <w:b w:val="0"/>
          <w:lang w:val="es-ES" w:eastAsia="es-ES"/>
        </w:rPr>
        <w:t xml:space="preserve"> en virtud al acuerdo interagencial con el Departamento de Educación</w:t>
      </w:r>
      <w:r w:rsidRPr="00DB148A">
        <w:rPr>
          <w:rFonts w:eastAsia="+mn-ea"/>
          <w:b w:val="0"/>
          <w:lang w:val="es-ES" w:eastAsia="es-ES"/>
        </w:rPr>
        <w:t>.</w:t>
      </w:r>
    </w:p>
    <w:p w:rsidR="003E41B9" w:rsidRPr="00DB148A" w:rsidRDefault="003E41B9" w:rsidP="00DB148A">
      <w:pPr>
        <w:spacing w:line="276" w:lineRule="auto"/>
        <w:rPr>
          <w:b w:val="0"/>
          <w:lang w:val="es-ES" w:eastAsia="es-ES"/>
        </w:rPr>
      </w:pPr>
    </w:p>
    <w:tbl>
      <w:tblPr>
        <w:tblStyle w:val="LightList-Accent31"/>
        <w:tblW w:w="9738" w:type="dxa"/>
        <w:tblInd w:w="0" w:type="dxa"/>
        <w:tblLook w:val="04A0" w:firstRow="1" w:lastRow="0" w:firstColumn="1" w:lastColumn="0" w:noHBand="0" w:noVBand="1"/>
      </w:tblPr>
      <w:tblGrid>
        <w:gridCol w:w="4428"/>
        <w:gridCol w:w="1440"/>
        <w:gridCol w:w="1440"/>
        <w:gridCol w:w="1170"/>
        <w:gridCol w:w="1260"/>
      </w:tblGrid>
      <w:tr w:rsidR="00F322A4" w:rsidRPr="00DB148A" w:rsidTr="00F32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8" w:space="0" w:color="9BBB59" w:themeColor="accent3"/>
              <w:left w:val="single" w:sz="8" w:space="0" w:color="9BBB59" w:themeColor="accent3"/>
              <w:bottom w:val="nil"/>
              <w:right w:val="nil"/>
            </w:tcBorders>
          </w:tcPr>
          <w:p w:rsidR="00DB148A" w:rsidRPr="00DB148A" w:rsidRDefault="00DB148A" w:rsidP="00DB148A">
            <w:pPr>
              <w:rPr>
                <w:b/>
                <w:spacing w:val="22"/>
                <w:sz w:val="20"/>
                <w:u w:val="single"/>
                <w:lang w:val="es-ES"/>
              </w:rPr>
            </w:pPr>
          </w:p>
        </w:tc>
        <w:tc>
          <w:tcPr>
            <w:tcW w:w="1440" w:type="dxa"/>
            <w:tcBorders>
              <w:top w:val="single" w:sz="8" w:space="0" w:color="9BBB59" w:themeColor="accent3"/>
              <w:left w:val="nil"/>
              <w:bottom w:val="nil"/>
              <w:right w:val="nil"/>
            </w:tcBorders>
            <w:hideMark/>
          </w:tcPr>
          <w:p w:rsidR="00DB148A" w:rsidRPr="00DB148A" w:rsidRDefault="00DB148A" w:rsidP="00DB148A">
            <w:pPr>
              <w:cnfStyle w:val="100000000000" w:firstRow="1" w:lastRow="0" w:firstColumn="0" w:lastColumn="0" w:oddVBand="0" w:evenVBand="0" w:oddHBand="0" w:evenHBand="0" w:firstRowFirstColumn="0" w:firstRowLastColumn="0" w:lastRowFirstColumn="0" w:lastRowLastColumn="0"/>
              <w:rPr>
                <w:b/>
                <w:spacing w:val="22"/>
                <w:sz w:val="20"/>
                <w:szCs w:val="22"/>
                <w:u w:val="single"/>
                <w:lang w:val="es-ES"/>
              </w:rPr>
            </w:pPr>
            <w:r w:rsidRPr="00DB148A">
              <w:rPr>
                <w:b/>
                <w:spacing w:val="22"/>
                <w:sz w:val="20"/>
                <w:szCs w:val="22"/>
                <w:u w:val="single"/>
                <w:lang w:val="es-ES"/>
              </w:rPr>
              <w:t>AF 2013</w:t>
            </w:r>
          </w:p>
        </w:tc>
        <w:tc>
          <w:tcPr>
            <w:tcW w:w="1440" w:type="dxa"/>
            <w:tcBorders>
              <w:top w:val="single" w:sz="8" w:space="0" w:color="9BBB59" w:themeColor="accent3"/>
              <w:left w:val="nil"/>
              <w:bottom w:val="nil"/>
              <w:right w:val="nil"/>
            </w:tcBorders>
            <w:hideMark/>
          </w:tcPr>
          <w:p w:rsidR="00DB148A" w:rsidRPr="00DB148A" w:rsidRDefault="00DB148A" w:rsidP="00DB148A">
            <w:pPr>
              <w:cnfStyle w:val="100000000000" w:firstRow="1" w:lastRow="0" w:firstColumn="0" w:lastColumn="0" w:oddVBand="0" w:evenVBand="0" w:oddHBand="0" w:evenHBand="0" w:firstRowFirstColumn="0" w:firstRowLastColumn="0" w:lastRowFirstColumn="0" w:lastRowLastColumn="0"/>
              <w:rPr>
                <w:b/>
                <w:spacing w:val="22"/>
                <w:sz w:val="20"/>
                <w:szCs w:val="22"/>
                <w:u w:val="single"/>
                <w:lang w:val="es-ES"/>
              </w:rPr>
            </w:pPr>
            <w:r w:rsidRPr="00DB148A">
              <w:rPr>
                <w:b/>
                <w:spacing w:val="22"/>
                <w:sz w:val="20"/>
                <w:szCs w:val="22"/>
                <w:u w:val="single"/>
                <w:lang w:val="es-ES"/>
              </w:rPr>
              <w:t>AF 2014</w:t>
            </w:r>
          </w:p>
        </w:tc>
        <w:tc>
          <w:tcPr>
            <w:tcW w:w="1170" w:type="dxa"/>
            <w:tcBorders>
              <w:top w:val="single" w:sz="8" w:space="0" w:color="9BBB59" w:themeColor="accent3"/>
              <w:left w:val="nil"/>
              <w:bottom w:val="nil"/>
              <w:right w:val="nil"/>
            </w:tcBorders>
            <w:hideMark/>
          </w:tcPr>
          <w:p w:rsidR="00DB148A" w:rsidRPr="00DB148A" w:rsidRDefault="00DB148A" w:rsidP="00DB148A">
            <w:pPr>
              <w:cnfStyle w:val="100000000000" w:firstRow="1" w:lastRow="0" w:firstColumn="0" w:lastColumn="0" w:oddVBand="0" w:evenVBand="0" w:oddHBand="0" w:evenHBand="0" w:firstRowFirstColumn="0" w:firstRowLastColumn="0" w:lastRowFirstColumn="0" w:lastRowLastColumn="0"/>
              <w:rPr>
                <w:b/>
                <w:spacing w:val="22"/>
                <w:sz w:val="20"/>
                <w:szCs w:val="22"/>
                <w:u w:val="single"/>
                <w:lang w:val="es-ES"/>
              </w:rPr>
            </w:pPr>
            <w:r w:rsidRPr="00DB148A">
              <w:rPr>
                <w:b/>
                <w:spacing w:val="22"/>
                <w:sz w:val="20"/>
                <w:szCs w:val="22"/>
                <w:u w:val="single"/>
                <w:lang w:val="es-ES"/>
              </w:rPr>
              <w:t>AF 2015</w:t>
            </w:r>
          </w:p>
        </w:tc>
        <w:tc>
          <w:tcPr>
            <w:tcW w:w="1260" w:type="dxa"/>
            <w:tcBorders>
              <w:top w:val="single" w:sz="8" w:space="0" w:color="9BBB59" w:themeColor="accent3"/>
              <w:left w:val="nil"/>
              <w:bottom w:val="nil"/>
              <w:right w:val="single" w:sz="8" w:space="0" w:color="9BBB59" w:themeColor="accent3"/>
            </w:tcBorders>
            <w:hideMark/>
          </w:tcPr>
          <w:p w:rsidR="00DB148A" w:rsidRPr="00DB148A" w:rsidRDefault="00DB148A" w:rsidP="00DB148A">
            <w:pPr>
              <w:cnfStyle w:val="100000000000" w:firstRow="1" w:lastRow="0" w:firstColumn="0" w:lastColumn="0" w:oddVBand="0" w:evenVBand="0" w:oddHBand="0" w:evenHBand="0" w:firstRowFirstColumn="0" w:firstRowLastColumn="0" w:lastRowFirstColumn="0" w:lastRowLastColumn="0"/>
              <w:rPr>
                <w:b/>
                <w:spacing w:val="22"/>
                <w:sz w:val="20"/>
                <w:szCs w:val="22"/>
                <w:u w:val="single"/>
                <w:lang w:val="es-ES"/>
              </w:rPr>
            </w:pPr>
            <w:r w:rsidRPr="00DB148A">
              <w:rPr>
                <w:b/>
                <w:spacing w:val="22"/>
                <w:sz w:val="20"/>
                <w:szCs w:val="22"/>
                <w:u w:val="single"/>
                <w:lang w:val="es-ES"/>
              </w:rPr>
              <w:t>AF 2016</w:t>
            </w:r>
          </w:p>
        </w:tc>
      </w:tr>
      <w:tr w:rsidR="004967EE" w:rsidRPr="00DB148A" w:rsidTr="00F3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right w:val="nil"/>
            </w:tcBorders>
            <w:hideMark/>
          </w:tcPr>
          <w:p w:rsidR="004967EE" w:rsidRPr="00DB148A" w:rsidRDefault="004967EE" w:rsidP="00DB148A">
            <w:pPr>
              <w:rPr>
                <w:sz w:val="22"/>
                <w:szCs w:val="24"/>
                <w:lang w:val="es-ES"/>
              </w:rPr>
            </w:pPr>
            <w:r w:rsidRPr="00DB148A">
              <w:rPr>
                <w:sz w:val="22"/>
                <w:szCs w:val="24"/>
                <w:lang w:val="es-ES"/>
              </w:rPr>
              <w:t>Consumidores con resultado de empleo entre las edades de 14 a 24 años</w:t>
            </w:r>
          </w:p>
        </w:tc>
        <w:tc>
          <w:tcPr>
            <w:tcW w:w="1440" w:type="dxa"/>
            <w:tcBorders>
              <w:left w:val="nil"/>
              <w:right w:val="nil"/>
            </w:tcBorders>
            <w:hideMark/>
          </w:tcPr>
          <w:p w:rsidR="004967EE" w:rsidRPr="004967EE" w:rsidRDefault="004967EE" w:rsidP="005F1F07">
            <w:pPr>
              <w:cnfStyle w:val="000000100000" w:firstRow="0" w:lastRow="0" w:firstColumn="0" w:lastColumn="0" w:oddVBand="0" w:evenVBand="0" w:oddHBand="1" w:evenHBand="0" w:firstRowFirstColumn="0" w:firstRowLastColumn="0" w:lastRowFirstColumn="0" w:lastRowLastColumn="0"/>
              <w:rPr>
                <w:b w:val="0"/>
              </w:rPr>
            </w:pPr>
            <w:r w:rsidRPr="004967EE">
              <w:rPr>
                <w:b w:val="0"/>
              </w:rPr>
              <w:t>2,250</w:t>
            </w:r>
          </w:p>
        </w:tc>
        <w:tc>
          <w:tcPr>
            <w:tcW w:w="1440" w:type="dxa"/>
            <w:tcBorders>
              <w:left w:val="nil"/>
              <w:right w:val="nil"/>
            </w:tcBorders>
            <w:hideMark/>
          </w:tcPr>
          <w:p w:rsidR="004967EE" w:rsidRPr="004967EE" w:rsidRDefault="004967EE" w:rsidP="005F1F07">
            <w:pPr>
              <w:cnfStyle w:val="000000100000" w:firstRow="0" w:lastRow="0" w:firstColumn="0" w:lastColumn="0" w:oddVBand="0" w:evenVBand="0" w:oddHBand="1" w:evenHBand="0" w:firstRowFirstColumn="0" w:firstRowLastColumn="0" w:lastRowFirstColumn="0" w:lastRowLastColumn="0"/>
              <w:rPr>
                <w:b w:val="0"/>
              </w:rPr>
            </w:pPr>
            <w:r w:rsidRPr="004967EE">
              <w:rPr>
                <w:b w:val="0"/>
              </w:rPr>
              <w:t>2,319</w:t>
            </w:r>
          </w:p>
        </w:tc>
        <w:tc>
          <w:tcPr>
            <w:tcW w:w="1170" w:type="dxa"/>
            <w:tcBorders>
              <w:left w:val="nil"/>
              <w:right w:val="nil"/>
            </w:tcBorders>
            <w:hideMark/>
          </w:tcPr>
          <w:p w:rsidR="004967EE" w:rsidRPr="004967EE" w:rsidRDefault="004967EE" w:rsidP="005F1F07">
            <w:pPr>
              <w:cnfStyle w:val="000000100000" w:firstRow="0" w:lastRow="0" w:firstColumn="0" w:lastColumn="0" w:oddVBand="0" w:evenVBand="0" w:oddHBand="1" w:evenHBand="0" w:firstRowFirstColumn="0" w:firstRowLastColumn="0" w:lastRowFirstColumn="0" w:lastRowLastColumn="0"/>
              <w:rPr>
                <w:b w:val="0"/>
              </w:rPr>
            </w:pPr>
            <w:r w:rsidRPr="004967EE">
              <w:rPr>
                <w:b w:val="0"/>
              </w:rPr>
              <w:t>2,262</w:t>
            </w:r>
          </w:p>
        </w:tc>
        <w:tc>
          <w:tcPr>
            <w:tcW w:w="1260" w:type="dxa"/>
            <w:tcBorders>
              <w:left w:val="nil"/>
            </w:tcBorders>
            <w:hideMark/>
          </w:tcPr>
          <w:p w:rsidR="004967EE" w:rsidRPr="004967EE" w:rsidRDefault="004967EE" w:rsidP="005F1F07">
            <w:pPr>
              <w:cnfStyle w:val="000000100000" w:firstRow="0" w:lastRow="0" w:firstColumn="0" w:lastColumn="0" w:oddVBand="0" w:evenVBand="0" w:oddHBand="1" w:evenHBand="0" w:firstRowFirstColumn="0" w:firstRowLastColumn="0" w:lastRowFirstColumn="0" w:lastRowLastColumn="0"/>
              <w:rPr>
                <w:b w:val="0"/>
              </w:rPr>
            </w:pPr>
            <w:r w:rsidRPr="004967EE">
              <w:rPr>
                <w:b w:val="0"/>
              </w:rPr>
              <w:t>2,557</w:t>
            </w:r>
          </w:p>
        </w:tc>
      </w:tr>
      <w:tr w:rsidR="00F322A4" w:rsidRPr="00DB148A" w:rsidTr="00F322A4">
        <w:tc>
          <w:tcPr>
            <w:cnfStyle w:val="001000000000" w:firstRow="0" w:lastRow="0" w:firstColumn="1" w:lastColumn="0" w:oddVBand="0" w:evenVBand="0" w:oddHBand="0" w:evenHBand="0" w:firstRowFirstColumn="0" w:firstRowLastColumn="0" w:lastRowFirstColumn="0" w:lastRowLastColumn="0"/>
            <w:tcW w:w="4428" w:type="dxa"/>
            <w:tcBorders>
              <w:top w:val="nil"/>
              <w:left w:val="single" w:sz="8" w:space="0" w:color="9BBB59" w:themeColor="accent3"/>
              <w:bottom w:val="single" w:sz="8" w:space="0" w:color="9BBB59" w:themeColor="accent3"/>
              <w:right w:val="nil"/>
            </w:tcBorders>
            <w:hideMark/>
          </w:tcPr>
          <w:p w:rsidR="004967EE" w:rsidRPr="00DB148A" w:rsidRDefault="004967EE" w:rsidP="00DB148A">
            <w:pPr>
              <w:rPr>
                <w:sz w:val="22"/>
                <w:szCs w:val="24"/>
                <w:lang w:val="es-ES"/>
              </w:rPr>
            </w:pPr>
            <w:r w:rsidRPr="00DB148A">
              <w:rPr>
                <w:sz w:val="22"/>
                <w:szCs w:val="24"/>
                <w:lang w:val="es-ES"/>
              </w:rPr>
              <w:t>Consumidores con resultado de empleo referidos de escuelas</w:t>
            </w:r>
          </w:p>
        </w:tc>
        <w:tc>
          <w:tcPr>
            <w:tcW w:w="1440" w:type="dxa"/>
            <w:tcBorders>
              <w:top w:val="nil"/>
              <w:left w:val="nil"/>
              <w:bottom w:val="single" w:sz="8" w:space="0" w:color="9BBB59" w:themeColor="accent3"/>
              <w:right w:val="nil"/>
            </w:tcBorders>
            <w:hideMark/>
          </w:tcPr>
          <w:p w:rsidR="004967EE" w:rsidRPr="004967EE" w:rsidRDefault="004967EE" w:rsidP="005F1F07">
            <w:pPr>
              <w:cnfStyle w:val="000000000000" w:firstRow="0" w:lastRow="0" w:firstColumn="0" w:lastColumn="0" w:oddVBand="0" w:evenVBand="0" w:oddHBand="0" w:evenHBand="0" w:firstRowFirstColumn="0" w:firstRowLastColumn="0" w:lastRowFirstColumn="0" w:lastRowLastColumn="0"/>
              <w:rPr>
                <w:b w:val="0"/>
              </w:rPr>
            </w:pPr>
            <w:r w:rsidRPr="004967EE">
              <w:rPr>
                <w:b w:val="0"/>
              </w:rPr>
              <w:t>1,014</w:t>
            </w:r>
          </w:p>
        </w:tc>
        <w:tc>
          <w:tcPr>
            <w:tcW w:w="1440" w:type="dxa"/>
            <w:tcBorders>
              <w:top w:val="nil"/>
              <w:left w:val="nil"/>
              <w:bottom w:val="single" w:sz="8" w:space="0" w:color="9BBB59" w:themeColor="accent3"/>
              <w:right w:val="nil"/>
            </w:tcBorders>
            <w:hideMark/>
          </w:tcPr>
          <w:p w:rsidR="004967EE" w:rsidRPr="004967EE" w:rsidRDefault="004967EE" w:rsidP="005F1F07">
            <w:pPr>
              <w:cnfStyle w:val="000000000000" w:firstRow="0" w:lastRow="0" w:firstColumn="0" w:lastColumn="0" w:oddVBand="0" w:evenVBand="0" w:oddHBand="0" w:evenHBand="0" w:firstRowFirstColumn="0" w:firstRowLastColumn="0" w:lastRowFirstColumn="0" w:lastRowLastColumn="0"/>
              <w:rPr>
                <w:b w:val="0"/>
              </w:rPr>
            </w:pPr>
            <w:r w:rsidRPr="004967EE">
              <w:rPr>
                <w:b w:val="0"/>
              </w:rPr>
              <w:t>816</w:t>
            </w:r>
          </w:p>
        </w:tc>
        <w:tc>
          <w:tcPr>
            <w:tcW w:w="1170" w:type="dxa"/>
            <w:tcBorders>
              <w:top w:val="nil"/>
              <w:left w:val="nil"/>
              <w:bottom w:val="single" w:sz="8" w:space="0" w:color="9BBB59" w:themeColor="accent3"/>
              <w:right w:val="nil"/>
            </w:tcBorders>
            <w:hideMark/>
          </w:tcPr>
          <w:p w:rsidR="004967EE" w:rsidRPr="004967EE" w:rsidRDefault="004967EE" w:rsidP="005F1F07">
            <w:pPr>
              <w:cnfStyle w:val="000000000000" w:firstRow="0" w:lastRow="0" w:firstColumn="0" w:lastColumn="0" w:oddVBand="0" w:evenVBand="0" w:oddHBand="0" w:evenHBand="0" w:firstRowFirstColumn="0" w:firstRowLastColumn="0" w:lastRowFirstColumn="0" w:lastRowLastColumn="0"/>
              <w:rPr>
                <w:b w:val="0"/>
              </w:rPr>
            </w:pPr>
            <w:r w:rsidRPr="004967EE">
              <w:rPr>
                <w:b w:val="0"/>
              </w:rPr>
              <w:t>721</w:t>
            </w:r>
          </w:p>
        </w:tc>
        <w:tc>
          <w:tcPr>
            <w:tcW w:w="1260" w:type="dxa"/>
            <w:tcBorders>
              <w:top w:val="nil"/>
              <w:left w:val="nil"/>
              <w:bottom w:val="single" w:sz="8" w:space="0" w:color="9BBB59" w:themeColor="accent3"/>
              <w:right w:val="single" w:sz="8" w:space="0" w:color="9BBB59" w:themeColor="accent3"/>
            </w:tcBorders>
            <w:hideMark/>
          </w:tcPr>
          <w:p w:rsidR="004967EE" w:rsidRPr="004967EE" w:rsidRDefault="004967EE" w:rsidP="005F1F07">
            <w:pPr>
              <w:cnfStyle w:val="000000000000" w:firstRow="0" w:lastRow="0" w:firstColumn="0" w:lastColumn="0" w:oddVBand="0" w:evenVBand="0" w:oddHBand="0" w:evenHBand="0" w:firstRowFirstColumn="0" w:firstRowLastColumn="0" w:lastRowFirstColumn="0" w:lastRowLastColumn="0"/>
              <w:rPr>
                <w:b w:val="0"/>
              </w:rPr>
            </w:pPr>
            <w:r w:rsidRPr="004967EE">
              <w:rPr>
                <w:b w:val="0"/>
              </w:rPr>
              <w:t>870</w:t>
            </w:r>
          </w:p>
        </w:tc>
      </w:tr>
    </w:tbl>
    <w:p w:rsidR="00F322A4" w:rsidRDefault="00F322A4" w:rsidP="00F322A4">
      <w:pPr>
        <w:widowControl w:val="0"/>
        <w:spacing w:line="276" w:lineRule="auto"/>
        <w:jc w:val="both"/>
        <w:rPr>
          <w:b w:val="0"/>
          <w:szCs w:val="24"/>
        </w:rPr>
      </w:pPr>
    </w:p>
    <w:p w:rsidR="00FF6CA3" w:rsidRDefault="003C3485" w:rsidP="00F322A4">
      <w:pPr>
        <w:widowControl w:val="0"/>
        <w:spacing w:line="276" w:lineRule="auto"/>
        <w:jc w:val="both"/>
        <w:rPr>
          <w:b w:val="0"/>
          <w:szCs w:val="24"/>
        </w:rPr>
      </w:pPr>
      <w:r>
        <w:rPr>
          <w:b w:val="0"/>
          <w:szCs w:val="24"/>
        </w:rPr>
        <w:t xml:space="preserve">Como parte de las estrategias que se </w:t>
      </w:r>
      <w:r w:rsidR="00CF4365">
        <w:rPr>
          <w:b w:val="0"/>
          <w:szCs w:val="24"/>
        </w:rPr>
        <w:t xml:space="preserve">utilizaron </w:t>
      </w:r>
      <w:r w:rsidR="00FF6CA3">
        <w:rPr>
          <w:b w:val="0"/>
          <w:szCs w:val="24"/>
        </w:rPr>
        <w:t xml:space="preserve">para desarrollar oportunidades de empleo para nuestros consumidores se incluyen:  </w:t>
      </w:r>
    </w:p>
    <w:p w:rsidR="005A312D" w:rsidRDefault="005A312D" w:rsidP="00F322A4">
      <w:pPr>
        <w:widowControl w:val="0"/>
        <w:spacing w:line="276" w:lineRule="auto"/>
        <w:jc w:val="both"/>
        <w:rPr>
          <w:b w:val="0"/>
          <w:szCs w:val="24"/>
        </w:rPr>
      </w:pPr>
    </w:p>
    <w:p w:rsidR="00FF6CA3" w:rsidRPr="00AC4799" w:rsidRDefault="00CF4365" w:rsidP="00FF6CA3">
      <w:pPr>
        <w:pStyle w:val="ListParagraph"/>
        <w:widowControl w:val="0"/>
        <w:numPr>
          <w:ilvl w:val="0"/>
          <w:numId w:val="41"/>
        </w:numPr>
        <w:spacing w:after="200" w:line="276" w:lineRule="auto"/>
        <w:jc w:val="both"/>
        <w:rPr>
          <w:b w:val="0"/>
          <w:szCs w:val="24"/>
        </w:rPr>
      </w:pPr>
      <w:r>
        <w:rPr>
          <w:b w:val="0"/>
          <w:szCs w:val="24"/>
        </w:rPr>
        <w:t>C</w:t>
      </w:r>
      <w:r w:rsidR="00226DDE">
        <w:rPr>
          <w:b w:val="0"/>
          <w:szCs w:val="24"/>
        </w:rPr>
        <w:t>ontratación de Programas</w:t>
      </w:r>
      <w:r w:rsidR="00FF6CA3" w:rsidRPr="00AC4799">
        <w:rPr>
          <w:b w:val="0"/>
          <w:szCs w:val="24"/>
        </w:rPr>
        <w:t xml:space="preserve"> de Rehabilitación de la Comunidad (PRC’s), para la ubicación en empleo de los consumidores con impedimentos más significativos.</w:t>
      </w:r>
    </w:p>
    <w:p w:rsidR="00FF6CA3" w:rsidRPr="00FA5DCA" w:rsidRDefault="00CF4365" w:rsidP="00FF6CA3">
      <w:pPr>
        <w:pStyle w:val="ListParagraph"/>
        <w:widowControl w:val="0"/>
        <w:numPr>
          <w:ilvl w:val="0"/>
          <w:numId w:val="41"/>
        </w:numPr>
        <w:spacing w:after="200" w:line="276" w:lineRule="auto"/>
        <w:jc w:val="both"/>
        <w:rPr>
          <w:b w:val="0"/>
          <w:szCs w:val="24"/>
        </w:rPr>
      </w:pPr>
      <w:r>
        <w:rPr>
          <w:b w:val="0"/>
          <w:szCs w:val="24"/>
        </w:rPr>
        <w:t>Otorgación de</w:t>
      </w:r>
      <w:r w:rsidR="00FF6CA3" w:rsidRPr="00FA5DCA">
        <w:rPr>
          <w:b w:val="0"/>
          <w:szCs w:val="24"/>
        </w:rPr>
        <w:t xml:space="preserve"> incentivos salariales a patronos para la ubicación en empleo de consumidores.</w:t>
      </w:r>
    </w:p>
    <w:p w:rsidR="00FF6CA3" w:rsidRDefault="00F322A4" w:rsidP="00FF6CA3">
      <w:pPr>
        <w:pStyle w:val="NoSpacing"/>
        <w:numPr>
          <w:ilvl w:val="0"/>
          <w:numId w:val="41"/>
        </w:numPr>
        <w:spacing w:line="276" w:lineRule="auto"/>
        <w:jc w:val="both"/>
        <w:rPr>
          <w:b w:val="0"/>
        </w:rPr>
      </w:pPr>
      <w:r>
        <w:rPr>
          <w:b w:val="0"/>
        </w:rPr>
        <w:t>P</w:t>
      </w:r>
      <w:r w:rsidR="00FF6CA3">
        <w:rPr>
          <w:b w:val="0"/>
        </w:rPr>
        <w:t>articipación</w:t>
      </w:r>
      <w:r w:rsidR="00FF6CA3" w:rsidRPr="00BE4A89">
        <w:rPr>
          <w:b w:val="0"/>
        </w:rPr>
        <w:t xml:space="preserve"> activa</w:t>
      </w:r>
      <w:r w:rsidR="00FF6CA3">
        <w:rPr>
          <w:b w:val="0"/>
        </w:rPr>
        <w:t xml:space="preserve"> en las Áreas Locales de Desarrollo Laboral (WIOA),</w:t>
      </w:r>
      <w:r w:rsidR="00FF6CA3" w:rsidRPr="00BE4A89">
        <w:rPr>
          <w:b w:val="0"/>
        </w:rPr>
        <w:t xml:space="preserve"> para identificar oportunidades de </w:t>
      </w:r>
      <w:r w:rsidR="00FF6CA3" w:rsidRPr="00E63256">
        <w:rPr>
          <w:b w:val="0"/>
        </w:rPr>
        <w:t>empleo para nuestros consumidores</w:t>
      </w:r>
      <w:r w:rsidR="00FF6CA3">
        <w:rPr>
          <w:b w:val="0"/>
        </w:rPr>
        <w:t xml:space="preserve"> y ofrecer servicios a las personas con impedimentos que reciben servicios en </w:t>
      </w:r>
      <w:r w:rsidR="00CF4365">
        <w:rPr>
          <w:b w:val="0"/>
        </w:rPr>
        <w:t>los Centros de Gestión Única</w:t>
      </w:r>
      <w:r w:rsidR="00FF6CA3" w:rsidRPr="00E63256">
        <w:rPr>
          <w:b w:val="0"/>
        </w:rPr>
        <w:t xml:space="preserve">.  </w:t>
      </w:r>
    </w:p>
    <w:p w:rsidR="00FF6CA3" w:rsidRPr="00FF6CA3" w:rsidRDefault="00FF6CA3" w:rsidP="00FF6CA3">
      <w:pPr>
        <w:pStyle w:val="NoSpacing"/>
        <w:spacing w:line="276" w:lineRule="auto"/>
        <w:ind w:left="360"/>
        <w:jc w:val="both"/>
        <w:rPr>
          <w:b w:val="0"/>
        </w:rPr>
      </w:pPr>
    </w:p>
    <w:p w:rsidR="00FF6CA3" w:rsidRDefault="00F322A4" w:rsidP="00FF6CA3">
      <w:pPr>
        <w:pStyle w:val="NoSpacing"/>
        <w:numPr>
          <w:ilvl w:val="0"/>
          <w:numId w:val="41"/>
        </w:numPr>
        <w:spacing w:line="276" w:lineRule="auto"/>
        <w:jc w:val="both"/>
        <w:rPr>
          <w:b w:val="0"/>
        </w:rPr>
      </w:pPr>
      <w:r>
        <w:rPr>
          <w:b w:val="0"/>
        </w:rPr>
        <w:t>Fortalecimiento de</w:t>
      </w:r>
      <w:r w:rsidR="00226DDE">
        <w:rPr>
          <w:b w:val="0"/>
        </w:rPr>
        <w:t xml:space="preserve"> la prestación de s</w:t>
      </w:r>
      <w:r w:rsidR="00FF6CA3" w:rsidRPr="00BE4A89">
        <w:rPr>
          <w:b w:val="0"/>
        </w:rPr>
        <w:t xml:space="preserve">ervicios en los Centros de Apoyo y Modalidades de Empleo </w:t>
      </w:r>
      <w:r w:rsidR="00FF6CA3" w:rsidRPr="00650462">
        <w:rPr>
          <w:b w:val="0"/>
        </w:rPr>
        <w:t>(CAME) a través de</w:t>
      </w:r>
      <w:r w:rsidR="00FF6CA3">
        <w:rPr>
          <w:b w:val="0"/>
        </w:rPr>
        <w:t xml:space="preserve"> la contratación de</w:t>
      </w:r>
      <w:r w:rsidR="00FF6CA3" w:rsidRPr="00650462">
        <w:rPr>
          <w:b w:val="0"/>
        </w:rPr>
        <w:t xml:space="preserve"> Promotores y </w:t>
      </w:r>
      <w:r w:rsidR="00FF6CA3">
        <w:rPr>
          <w:b w:val="0"/>
        </w:rPr>
        <w:t>Analistas de Empleo alrededor del País</w:t>
      </w:r>
      <w:r w:rsidR="00FF6CA3" w:rsidRPr="00650462">
        <w:rPr>
          <w:b w:val="0"/>
        </w:rPr>
        <w:t>.</w:t>
      </w:r>
    </w:p>
    <w:p w:rsidR="00FF6CA3" w:rsidRDefault="00FF6CA3" w:rsidP="00FF6CA3">
      <w:pPr>
        <w:pStyle w:val="ListParagraph"/>
        <w:rPr>
          <w:b w:val="0"/>
        </w:rPr>
      </w:pPr>
    </w:p>
    <w:p w:rsidR="00226DDE" w:rsidRPr="00226DDE" w:rsidRDefault="00CF4365" w:rsidP="00CF4365">
      <w:pPr>
        <w:pStyle w:val="NoSpacing"/>
        <w:numPr>
          <w:ilvl w:val="0"/>
          <w:numId w:val="40"/>
        </w:numPr>
        <w:spacing w:line="276" w:lineRule="auto"/>
        <w:jc w:val="both"/>
        <w:rPr>
          <w:b w:val="0"/>
        </w:rPr>
      </w:pPr>
      <w:r>
        <w:rPr>
          <w:b w:val="0"/>
        </w:rPr>
        <w:t xml:space="preserve">Asignación de </w:t>
      </w:r>
      <w:r w:rsidR="00226DDE">
        <w:rPr>
          <w:b w:val="0"/>
        </w:rPr>
        <w:t>equipo de computadora e</w:t>
      </w:r>
      <w:r w:rsidR="00226DDE" w:rsidRPr="00226DDE">
        <w:rPr>
          <w:b w:val="0"/>
        </w:rPr>
        <w:t xml:space="preserve"> impresora a cada una de las seis Centros de Apoyo y Modalidades de Empleo (CAME)</w:t>
      </w:r>
      <w:r w:rsidR="00226DDE">
        <w:rPr>
          <w:b w:val="0"/>
        </w:rPr>
        <w:t xml:space="preserve"> en </w:t>
      </w:r>
      <w:r w:rsidR="00226DDE">
        <w:rPr>
          <w:b w:val="0"/>
        </w:rPr>
        <w:lastRenderedPageBreak/>
        <w:t>las Oficinas Regionales</w:t>
      </w:r>
      <w:r>
        <w:rPr>
          <w:b w:val="0"/>
        </w:rPr>
        <w:t>,</w:t>
      </w:r>
      <w:r w:rsidRPr="00CF4365">
        <w:t xml:space="preserve"> </w:t>
      </w:r>
      <w:r>
        <w:rPr>
          <w:b w:val="0"/>
        </w:rPr>
        <w:t>c</w:t>
      </w:r>
      <w:r w:rsidRPr="00CF4365">
        <w:rPr>
          <w:b w:val="0"/>
        </w:rPr>
        <w:t xml:space="preserve">on el propósito de </w:t>
      </w:r>
      <w:r>
        <w:rPr>
          <w:b w:val="0"/>
        </w:rPr>
        <w:t>facilitar</w:t>
      </w:r>
      <w:r w:rsidRPr="00CF4365">
        <w:rPr>
          <w:b w:val="0"/>
        </w:rPr>
        <w:t xml:space="preserve"> a nuestros consumidores </w:t>
      </w:r>
      <w:r>
        <w:rPr>
          <w:b w:val="0"/>
        </w:rPr>
        <w:t>la</w:t>
      </w:r>
      <w:r w:rsidRPr="00CF4365">
        <w:rPr>
          <w:b w:val="0"/>
        </w:rPr>
        <w:t xml:space="preserve"> redacción de resumé y bús</w:t>
      </w:r>
      <w:r>
        <w:rPr>
          <w:b w:val="0"/>
        </w:rPr>
        <w:t>queda de empleo</w:t>
      </w:r>
      <w:r w:rsidR="00226DDE" w:rsidRPr="00226DDE">
        <w:rPr>
          <w:b w:val="0"/>
        </w:rPr>
        <w:t>.</w:t>
      </w:r>
    </w:p>
    <w:p w:rsidR="00FF6CA3" w:rsidRDefault="00FF6CA3" w:rsidP="00FF6CA3">
      <w:pPr>
        <w:pStyle w:val="NoSpacing"/>
        <w:spacing w:line="276" w:lineRule="auto"/>
        <w:jc w:val="both"/>
        <w:rPr>
          <w:b w:val="0"/>
        </w:rPr>
      </w:pPr>
    </w:p>
    <w:p w:rsidR="00CF4365" w:rsidRPr="00BE4A89" w:rsidRDefault="00CE1B5F" w:rsidP="00CF4365">
      <w:pPr>
        <w:pStyle w:val="NoSpacing"/>
        <w:spacing w:line="276" w:lineRule="auto"/>
        <w:jc w:val="both"/>
        <w:rPr>
          <w:b w:val="0"/>
        </w:rPr>
      </w:pPr>
      <w:r>
        <w:rPr>
          <w:b w:val="0"/>
        </w:rPr>
        <w:t>Por otra parte, la ARV fortaleció</w:t>
      </w:r>
      <w:r w:rsidR="00CF4365" w:rsidRPr="00BE4A89">
        <w:rPr>
          <w:b w:val="0"/>
        </w:rPr>
        <w:t xml:space="preserve"> la prestación de servicios en los seis (6)</w:t>
      </w:r>
      <w:r w:rsidR="00CF4365">
        <w:rPr>
          <w:b w:val="0"/>
        </w:rPr>
        <w:t xml:space="preserve"> Centros de Avaluación y Ajuste</w:t>
      </w:r>
      <w:r>
        <w:rPr>
          <w:b w:val="0"/>
        </w:rPr>
        <w:t xml:space="preserve"> </w:t>
      </w:r>
      <w:r w:rsidR="00CF4365" w:rsidRPr="00BE4A89">
        <w:rPr>
          <w:b w:val="0"/>
        </w:rPr>
        <w:t>a través de</w:t>
      </w:r>
      <w:r>
        <w:rPr>
          <w:b w:val="0"/>
        </w:rPr>
        <w:t xml:space="preserve"> las siguientes actividades</w:t>
      </w:r>
      <w:r w:rsidR="00CF4365" w:rsidRPr="00BE4A89">
        <w:rPr>
          <w:b w:val="0"/>
        </w:rPr>
        <w:t>:</w:t>
      </w:r>
    </w:p>
    <w:p w:rsidR="00CF4365" w:rsidRPr="00BE4A89" w:rsidRDefault="00CF4365" w:rsidP="00CF4365">
      <w:pPr>
        <w:pStyle w:val="NoSpacing"/>
        <w:spacing w:line="276" w:lineRule="auto"/>
        <w:jc w:val="both"/>
        <w:rPr>
          <w:b w:val="0"/>
        </w:rPr>
      </w:pPr>
    </w:p>
    <w:p w:rsidR="00CF4365" w:rsidRDefault="005A764B" w:rsidP="005A764B">
      <w:pPr>
        <w:pStyle w:val="NoSpacing"/>
        <w:numPr>
          <w:ilvl w:val="0"/>
          <w:numId w:val="40"/>
        </w:numPr>
        <w:spacing w:line="276" w:lineRule="auto"/>
        <w:jc w:val="both"/>
        <w:rPr>
          <w:b w:val="0"/>
        </w:rPr>
      </w:pPr>
      <w:r>
        <w:rPr>
          <w:b w:val="0"/>
        </w:rPr>
        <w:t xml:space="preserve">Desarrollo de nueva </w:t>
      </w:r>
      <w:r w:rsidRPr="005A764B">
        <w:rPr>
          <w:b w:val="0"/>
        </w:rPr>
        <w:t xml:space="preserve">Política Pública en las áreas de </w:t>
      </w:r>
      <w:r w:rsidR="00CF4365">
        <w:rPr>
          <w:b w:val="0"/>
        </w:rPr>
        <w:t xml:space="preserve">Adiestramiento en </w:t>
      </w:r>
      <w:r w:rsidR="00CF4365" w:rsidRPr="00BE4A89">
        <w:rPr>
          <w:b w:val="0"/>
        </w:rPr>
        <w:t xml:space="preserve">Orientación y Movilidad </w:t>
      </w:r>
      <w:r w:rsidR="00CF4365">
        <w:rPr>
          <w:b w:val="0"/>
        </w:rPr>
        <w:t>p</w:t>
      </w:r>
      <w:r w:rsidR="00CF4365" w:rsidRPr="00BE4A89">
        <w:rPr>
          <w:b w:val="0"/>
        </w:rPr>
        <w:t>a</w:t>
      </w:r>
      <w:r w:rsidR="00CF4365">
        <w:rPr>
          <w:b w:val="0"/>
        </w:rPr>
        <w:t xml:space="preserve">ra las personas </w:t>
      </w:r>
      <w:r>
        <w:rPr>
          <w:b w:val="0"/>
        </w:rPr>
        <w:t>ciegas</w:t>
      </w:r>
      <w:r w:rsidR="00CF4365">
        <w:rPr>
          <w:b w:val="0"/>
        </w:rPr>
        <w:t>.</w:t>
      </w:r>
    </w:p>
    <w:p w:rsidR="00CF4365" w:rsidRPr="00BE4A89" w:rsidRDefault="00CF4365" w:rsidP="00CF4365">
      <w:pPr>
        <w:pStyle w:val="NoSpacing"/>
        <w:spacing w:line="276" w:lineRule="auto"/>
        <w:ind w:left="720"/>
        <w:jc w:val="both"/>
        <w:rPr>
          <w:b w:val="0"/>
        </w:rPr>
      </w:pPr>
    </w:p>
    <w:p w:rsidR="00CF4365" w:rsidRPr="005A764B" w:rsidRDefault="00CF4365" w:rsidP="005A764B">
      <w:pPr>
        <w:pStyle w:val="NoSpacing"/>
        <w:numPr>
          <w:ilvl w:val="0"/>
          <w:numId w:val="40"/>
        </w:numPr>
        <w:spacing w:line="276" w:lineRule="auto"/>
        <w:jc w:val="both"/>
        <w:rPr>
          <w:b w:val="0"/>
        </w:rPr>
      </w:pPr>
      <w:r w:rsidRPr="00226DDE">
        <w:rPr>
          <w:b w:val="0"/>
        </w:rPr>
        <w:t xml:space="preserve">Adquisición e instalación de equipo de Asistencia Tecnológica de videoconferencia para personas sordas en todas las Oficinas de Servicio de la ARV.  La base de operación de éste servicio se encuentra en </w:t>
      </w:r>
      <w:r w:rsidR="001D53AD">
        <w:rPr>
          <w:b w:val="0"/>
        </w:rPr>
        <w:t xml:space="preserve">la </w:t>
      </w:r>
      <w:r w:rsidRPr="00226DDE">
        <w:rPr>
          <w:b w:val="0"/>
        </w:rPr>
        <w:t>Unidad de Avaluación y Ajuste para Sordos ubicada en Guaynabo, cuyo personal estará disponible para los solicitantes y consumidores que requieran conectarse al servicio de intérprete en el horario de operación de la Agencia.</w:t>
      </w:r>
    </w:p>
    <w:p w:rsidR="00CF4365" w:rsidRPr="00BE4A89" w:rsidRDefault="00CF4365" w:rsidP="00CF4365">
      <w:pPr>
        <w:pStyle w:val="NoSpacing"/>
        <w:spacing w:line="276" w:lineRule="auto"/>
        <w:ind w:left="720"/>
        <w:jc w:val="both"/>
        <w:rPr>
          <w:b w:val="0"/>
        </w:rPr>
      </w:pPr>
    </w:p>
    <w:p w:rsidR="00CF4365" w:rsidRPr="00226DDE" w:rsidRDefault="005A764B" w:rsidP="00CF4365">
      <w:pPr>
        <w:pStyle w:val="NoSpacing"/>
        <w:numPr>
          <w:ilvl w:val="0"/>
          <w:numId w:val="40"/>
        </w:numPr>
        <w:spacing w:line="276" w:lineRule="auto"/>
        <w:jc w:val="both"/>
        <w:rPr>
          <w:b w:val="0"/>
        </w:rPr>
      </w:pPr>
      <w:r>
        <w:rPr>
          <w:b w:val="0"/>
        </w:rPr>
        <w:t>Implementación del s</w:t>
      </w:r>
      <w:r w:rsidR="00CF4365" w:rsidRPr="00226DDE">
        <w:rPr>
          <w:b w:val="0"/>
        </w:rPr>
        <w:t xml:space="preserve">istema mecanizado "ARVI” para el referido y el seguimiento de los  casos  en los seis (6) Centros de Avaluación y Ajuste (CAA) de la ARV.  Dicho sistema ha permitido a los Consejeros en Rehabilitación Vocacional (CRV)  agilizar y monitorear  la prestación del servicio a nuestros consumidores con impedimentos referidos a los CAA.  </w:t>
      </w:r>
    </w:p>
    <w:p w:rsidR="00CF4365" w:rsidRPr="00226DDE" w:rsidRDefault="00CF4365" w:rsidP="00CF4365">
      <w:pPr>
        <w:pStyle w:val="PlainText"/>
        <w:spacing w:line="276" w:lineRule="auto"/>
        <w:jc w:val="both"/>
        <w:rPr>
          <w:rFonts w:ascii="Times New Roman" w:hAnsi="Times New Roman"/>
          <w:sz w:val="24"/>
          <w:szCs w:val="24"/>
          <w:lang w:val="es-PR"/>
        </w:rPr>
      </w:pPr>
    </w:p>
    <w:p w:rsidR="0001758D" w:rsidRDefault="00CF4365" w:rsidP="00CF4365">
      <w:pPr>
        <w:pStyle w:val="PlainText"/>
        <w:spacing w:line="276" w:lineRule="auto"/>
        <w:jc w:val="both"/>
        <w:rPr>
          <w:rFonts w:ascii="Times New Roman" w:hAnsi="Times New Roman"/>
          <w:sz w:val="24"/>
          <w:szCs w:val="24"/>
          <w:lang w:val="es-PR"/>
        </w:rPr>
      </w:pPr>
      <w:r w:rsidRPr="006E7110">
        <w:rPr>
          <w:rFonts w:ascii="Times New Roman" w:hAnsi="Times New Roman"/>
          <w:sz w:val="24"/>
          <w:szCs w:val="24"/>
          <w:lang w:val="es-PR"/>
        </w:rPr>
        <w:t>En cumplimiento con las enmiendas del año 2014 a la Ley de Rehabilitación del 1973, durante los años fiscales 2015 y 2016</w:t>
      </w:r>
      <w:r>
        <w:rPr>
          <w:rFonts w:ascii="Times New Roman" w:hAnsi="Times New Roman"/>
          <w:sz w:val="24"/>
          <w:szCs w:val="24"/>
          <w:lang w:val="es-PR"/>
        </w:rPr>
        <w:t>,</w:t>
      </w:r>
      <w:r w:rsidRPr="006E7110">
        <w:rPr>
          <w:rFonts w:ascii="Times New Roman" w:hAnsi="Times New Roman"/>
          <w:sz w:val="24"/>
          <w:szCs w:val="24"/>
          <w:lang w:val="es-PR"/>
        </w:rPr>
        <w:t xml:space="preserve"> la ARV llevó a cabo actividades a nivel isla, en coordinación con el Departamento de Educación, para proveer Servicios de Transición Pre-Empleo a estudiantes con impedimentos. </w:t>
      </w:r>
      <w:r>
        <w:rPr>
          <w:rFonts w:ascii="Times New Roman" w:hAnsi="Times New Roman"/>
          <w:sz w:val="24"/>
          <w:szCs w:val="24"/>
          <w:lang w:val="es-PR"/>
        </w:rPr>
        <w:t xml:space="preserve"> </w:t>
      </w:r>
      <w:r w:rsidRPr="006E7110">
        <w:rPr>
          <w:rFonts w:ascii="Times New Roman" w:hAnsi="Times New Roman"/>
          <w:sz w:val="24"/>
          <w:szCs w:val="24"/>
          <w:lang w:val="es-PR"/>
        </w:rPr>
        <w:t>Además, se llevó a cabo una experiencia de empleo de verano con paga, en un escenario competi</w:t>
      </w:r>
      <w:r>
        <w:rPr>
          <w:rFonts w:ascii="Times New Roman" w:hAnsi="Times New Roman"/>
          <w:sz w:val="24"/>
          <w:szCs w:val="24"/>
          <w:lang w:val="es-PR"/>
        </w:rPr>
        <w:t>tivo integrado de la cual se beneficiaron</w:t>
      </w:r>
      <w:r w:rsidRPr="006E7110">
        <w:rPr>
          <w:rFonts w:ascii="Times New Roman" w:hAnsi="Times New Roman"/>
          <w:sz w:val="24"/>
          <w:szCs w:val="24"/>
          <w:lang w:val="es-PR"/>
        </w:rPr>
        <w:t xml:space="preserve"> estudiantes con impedimentos</w:t>
      </w:r>
      <w:r>
        <w:rPr>
          <w:rFonts w:ascii="Times New Roman" w:hAnsi="Times New Roman"/>
          <w:sz w:val="24"/>
          <w:szCs w:val="24"/>
          <w:lang w:val="es-PR"/>
        </w:rPr>
        <w:t xml:space="preserve"> del sistema público de enseñanza</w:t>
      </w:r>
      <w:r w:rsidRPr="006E7110">
        <w:rPr>
          <w:rFonts w:ascii="Times New Roman" w:hAnsi="Times New Roman"/>
          <w:sz w:val="24"/>
          <w:szCs w:val="24"/>
          <w:lang w:val="es-PR"/>
        </w:rPr>
        <w:t>.</w:t>
      </w:r>
      <w:r>
        <w:rPr>
          <w:rFonts w:ascii="Times New Roman" w:hAnsi="Times New Roman"/>
          <w:sz w:val="24"/>
          <w:szCs w:val="24"/>
          <w:lang w:val="es-PR"/>
        </w:rPr>
        <w:t xml:space="preserve"> Esperamos poder establecer ésta iniciativa como proyecto permanente para el beneficio de los estudiantes con impedimentos en edad de transición. </w:t>
      </w:r>
    </w:p>
    <w:p w:rsidR="00E1636A" w:rsidRDefault="00E1636A" w:rsidP="00CF4365">
      <w:pPr>
        <w:pStyle w:val="PlainText"/>
        <w:spacing w:line="276" w:lineRule="auto"/>
        <w:jc w:val="both"/>
        <w:rPr>
          <w:rFonts w:ascii="Times New Roman" w:hAnsi="Times New Roman"/>
          <w:sz w:val="24"/>
          <w:szCs w:val="24"/>
          <w:lang w:val="es-PR"/>
        </w:rPr>
      </w:pPr>
    </w:p>
    <w:p w:rsidR="00E1636A" w:rsidRPr="006E7110" w:rsidRDefault="00376230" w:rsidP="00CF4365">
      <w:pPr>
        <w:pStyle w:val="PlainText"/>
        <w:spacing w:line="276" w:lineRule="auto"/>
        <w:jc w:val="both"/>
        <w:rPr>
          <w:rFonts w:ascii="Times New Roman" w:hAnsi="Times New Roman"/>
          <w:sz w:val="24"/>
          <w:szCs w:val="24"/>
          <w:lang w:val="es-PR"/>
        </w:rPr>
      </w:pPr>
      <w:r w:rsidRPr="008655BF">
        <w:rPr>
          <w:rFonts w:ascii="Times New Roman" w:hAnsi="Times New Roman"/>
          <w:sz w:val="24"/>
          <w:szCs w:val="24"/>
          <w:highlight w:val="yellow"/>
          <w:lang w:val="es-PR"/>
        </w:rPr>
        <w:t>L</w:t>
      </w:r>
      <w:r w:rsidR="00E1636A" w:rsidRPr="008655BF">
        <w:rPr>
          <w:rFonts w:ascii="Times New Roman" w:hAnsi="Times New Roman"/>
          <w:sz w:val="24"/>
          <w:szCs w:val="24"/>
          <w:highlight w:val="yellow"/>
          <w:lang w:val="es-PR"/>
        </w:rPr>
        <w:t xml:space="preserve">a ARV </w:t>
      </w:r>
      <w:r w:rsidRPr="008655BF">
        <w:rPr>
          <w:rFonts w:ascii="Times New Roman" w:hAnsi="Times New Roman"/>
          <w:sz w:val="24"/>
          <w:szCs w:val="24"/>
          <w:highlight w:val="yellow"/>
          <w:lang w:val="es-PR"/>
        </w:rPr>
        <w:t xml:space="preserve">participó además en </w:t>
      </w:r>
      <w:r w:rsidR="00E1636A" w:rsidRPr="008655BF">
        <w:rPr>
          <w:rFonts w:ascii="Times New Roman" w:hAnsi="Times New Roman"/>
          <w:sz w:val="24"/>
          <w:szCs w:val="24"/>
          <w:highlight w:val="yellow"/>
          <w:lang w:val="es-PR"/>
        </w:rPr>
        <w:t>el desarrollo del primer Plan Estatal Unificado de Puerto Rico</w:t>
      </w:r>
      <w:r w:rsidRPr="008655BF">
        <w:rPr>
          <w:rFonts w:ascii="Times New Roman" w:hAnsi="Times New Roman"/>
          <w:sz w:val="24"/>
          <w:szCs w:val="24"/>
          <w:highlight w:val="yellow"/>
          <w:lang w:val="es-PR"/>
        </w:rPr>
        <w:t>, en colaboración con otros programas mandatorios bajo la Ley de Innovación y Oportunidad en la Fuerza Laboral</w:t>
      </w:r>
      <w:r w:rsidR="00E1636A" w:rsidRPr="008655BF">
        <w:rPr>
          <w:rFonts w:ascii="Times New Roman" w:hAnsi="Times New Roman"/>
          <w:sz w:val="24"/>
          <w:szCs w:val="24"/>
          <w:highlight w:val="yellow"/>
          <w:lang w:val="es-PR"/>
        </w:rPr>
        <w:t>. El documento fue sometido al Departamento del Trabajo federal y aprobado, in</w:t>
      </w:r>
      <w:r w:rsidR="00E1636A" w:rsidRPr="008655BF">
        <w:rPr>
          <w:rFonts w:ascii="Times New Roman" w:hAnsi="Times New Roman"/>
          <w:sz w:val="24"/>
          <w:szCs w:val="24"/>
          <w:highlight w:val="yellow"/>
          <w:lang w:val="es-PR"/>
        </w:rPr>
        <w:lastRenderedPageBreak/>
        <w:t xml:space="preserve">cluyendo la Porción de Servicios de Rehabilitación Vocacional. </w:t>
      </w:r>
      <w:r w:rsidRPr="008655BF">
        <w:rPr>
          <w:rFonts w:ascii="Times New Roman" w:hAnsi="Times New Roman"/>
          <w:sz w:val="24"/>
          <w:szCs w:val="24"/>
          <w:highlight w:val="yellow"/>
          <w:lang w:val="es-PR"/>
        </w:rPr>
        <w:t>Mediante dicha porción aprobada, se autorizan los fondos federales para las operaciones y prestación de servicios de rehabilitación vocacional de la ARV.</w:t>
      </w:r>
      <w:r>
        <w:rPr>
          <w:rFonts w:ascii="Times New Roman" w:hAnsi="Times New Roman"/>
          <w:sz w:val="24"/>
          <w:szCs w:val="24"/>
          <w:lang w:val="es-PR"/>
        </w:rPr>
        <w:t xml:space="preserve"> </w:t>
      </w:r>
    </w:p>
    <w:p w:rsidR="00CF4365" w:rsidRPr="00BE4A89" w:rsidRDefault="00CF4365" w:rsidP="00CF4365">
      <w:pPr>
        <w:pStyle w:val="NoSpacing"/>
        <w:spacing w:line="276" w:lineRule="auto"/>
        <w:rPr>
          <w:b w:val="0"/>
        </w:rPr>
      </w:pPr>
    </w:p>
    <w:p w:rsidR="0001758D" w:rsidRDefault="00CF4365" w:rsidP="00CF4365">
      <w:pPr>
        <w:pStyle w:val="NoSpacing"/>
        <w:spacing w:line="276" w:lineRule="auto"/>
        <w:jc w:val="both"/>
        <w:rPr>
          <w:b w:val="0"/>
        </w:rPr>
      </w:pPr>
      <w:r w:rsidRPr="008655BF">
        <w:rPr>
          <w:b w:val="0"/>
          <w:highlight w:val="yellow"/>
        </w:rPr>
        <w:t xml:space="preserve">Con el compromiso de fortalecer la prestación de servicios de nuestra Agencia, </w:t>
      </w:r>
      <w:r w:rsidR="00376230" w:rsidRPr="008655BF">
        <w:rPr>
          <w:b w:val="0"/>
          <w:highlight w:val="yellow"/>
        </w:rPr>
        <w:t xml:space="preserve">también </w:t>
      </w:r>
      <w:r w:rsidRPr="008655BF">
        <w:rPr>
          <w:b w:val="0"/>
          <w:highlight w:val="yellow"/>
        </w:rPr>
        <w:t xml:space="preserve">hemos </w:t>
      </w:r>
      <w:r w:rsidR="005A312D" w:rsidRPr="008655BF">
        <w:rPr>
          <w:b w:val="0"/>
          <w:highlight w:val="yellow"/>
        </w:rPr>
        <w:t>llevado a cabo</w:t>
      </w:r>
      <w:r w:rsidRPr="008655BF">
        <w:rPr>
          <w:b w:val="0"/>
          <w:highlight w:val="yellow"/>
        </w:rPr>
        <w:t xml:space="preserve"> adiestramiento</w:t>
      </w:r>
      <w:r w:rsidR="005A312D" w:rsidRPr="008655BF">
        <w:rPr>
          <w:b w:val="0"/>
          <w:highlight w:val="yellow"/>
        </w:rPr>
        <w:t>s</w:t>
      </w:r>
      <w:r w:rsidRPr="008655BF">
        <w:rPr>
          <w:b w:val="0"/>
          <w:highlight w:val="yellow"/>
        </w:rPr>
        <w:t xml:space="preserve"> al personal, revisión y actualización de la Política Pública</w:t>
      </w:r>
      <w:r w:rsidR="005A312D" w:rsidRPr="008655BF">
        <w:rPr>
          <w:b w:val="0"/>
          <w:highlight w:val="yellow"/>
        </w:rPr>
        <w:t>,</w:t>
      </w:r>
      <w:r w:rsidRPr="008655BF">
        <w:rPr>
          <w:b w:val="0"/>
          <w:highlight w:val="yellow"/>
        </w:rPr>
        <w:t xml:space="preserve"> y</w:t>
      </w:r>
      <w:r w:rsidR="005A312D" w:rsidRPr="008655BF">
        <w:rPr>
          <w:b w:val="0"/>
          <w:highlight w:val="yellow"/>
        </w:rPr>
        <w:t xml:space="preserve"> nombramiento de </w:t>
      </w:r>
      <w:r w:rsidR="003E41B9" w:rsidRPr="008655BF">
        <w:rPr>
          <w:b w:val="0"/>
          <w:highlight w:val="yellow"/>
        </w:rPr>
        <w:t xml:space="preserve">41 </w:t>
      </w:r>
      <w:r w:rsidR="005A312D" w:rsidRPr="008655BF">
        <w:rPr>
          <w:b w:val="0"/>
          <w:highlight w:val="yellow"/>
        </w:rPr>
        <w:t>Consejeros en Rehabilitación Vocacional (CRV) para cubrir las zonas vacantes de manejo de casos</w:t>
      </w:r>
      <w:r w:rsidR="003E41B9" w:rsidRPr="008655BF">
        <w:rPr>
          <w:b w:val="0"/>
          <w:highlight w:val="yellow"/>
        </w:rPr>
        <w:t>.</w:t>
      </w:r>
      <w:r w:rsidR="0001758D" w:rsidRPr="008655BF">
        <w:rPr>
          <w:b w:val="0"/>
          <w:highlight w:val="yellow"/>
        </w:rPr>
        <w:t xml:space="preserve"> Además, se estableció </w:t>
      </w:r>
      <w:r w:rsidR="00376230" w:rsidRPr="008655BF">
        <w:rPr>
          <w:b w:val="0"/>
          <w:highlight w:val="yellow"/>
        </w:rPr>
        <w:t>convenio</w:t>
      </w:r>
      <w:r w:rsidR="0001758D" w:rsidRPr="008655BF">
        <w:rPr>
          <w:b w:val="0"/>
          <w:highlight w:val="yellow"/>
        </w:rPr>
        <w:t xml:space="preserve"> colaborativo formal con Job Corps, para servir a jóvenes con impedimentos que puedan beneficiarse de los servicios de la ARV</w:t>
      </w:r>
      <w:r w:rsidR="00376230" w:rsidRPr="008655BF">
        <w:rPr>
          <w:b w:val="0"/>
          <w:highlight w:val="yellow"/>
        </w:rPr>
        <w:t>; entre otros acuerdos de colaboración</w:t>
      </w:r>
      <w:r w:rsidR="0001758D" w:rsidRPr="008655BF">
        <w:rPr>
          <w:b w:val="0"/>
          <w:highlight w:val="yellow"/>
        </w:rPr>
        <w:t>.</w:t>
      </w:r>
    </w:p>
    <w:p w:rsidR="00CF4365" w:rsidRDefault="00CF4365" w:rsidP="00CF4365">
      <w:pPr>
        <w:pStyle w:val="NoSpacing"/>
        <w:spacing w:line="276" w:lineRule="auto"/>
        <w:jc w:val="both"/>
        <w:rPr>
          <w:b w:val="0"/>
        </w:rPr>
      </w:pPr>
    </w:p>
    <w:p w:rsidR="00DB148A" w:rsidRPr="00DB148A" w:rsidRDefault="00DB148A" w:rsidP="00CF4365">
      <w:pPr>
        <w:pStyle w:val="NoSpacing"/>
        <w:spacing w:line="276" w:lineRule="auto"/>
        <w:jc w:val="both"/>
        <w:rPr>
          <w:b w:val="0"/>
          <w:u w:val="single"/>
        </w:rPr>
      </w:pPr>
      <w:r w:rsidRPr="00DB148A">
        <w:rPr>
          <w:b w:val="0"/>
          <w:u w:val="single"/>
        </w:rPr>
        <w:t>LOGROS ADMINISTRATIVOS</w:t>
      </w:r>
    </w:p>
    <w:p w:rsidR="00DB148A" w:rsidRDefault="00DB148A" w:rsidP="00CF4365">
      <w:pPr>
        <w:pStyle w:val="NoSpacing"/>
        <w:spacing w:line="276" w:lineRule="auto"/>
        <w:jc w:val="both"/>
        <w:rPr>
          <w:b w:val="0"/>
        </w:rPr>
      </w:pPr>
    </w:p>
    <w:p w:rsidR="004A1F89" w:rsidRDefault="00CF4365" w:rsidP="00CF4365">
      <w:pPr>
        <w:pStyle w:val="NoSpacing"/>
        <w:spacing w:line="276" w:lineRule="auto"/>
        <w:jc w:val="both"/>
        <w:rPr>
          <w:b w:val="0"/>
        </w:rPr>
      </w:pPr>
      <w:r w:rsidRPr="00CE1B5F">
        <w:rPr>
          <w:b w:val="0"/>
        </w:rPr>
        <w:t>De otra parte, debemos mencionar que hemos reducido los gastos administrativos correspondientes al consumo energético en un 27% en comparació</w:t>
      </w:r>
      <w:r w:rsidR="00CE1B5F">
        <w:rPr>
          <w:b w:val="0"/>
        </w:rPr>
        <w:t>n con el Año Fiscal 2013</w:t>
      </w:r>
      <w:r w:rsidRPr="00CE1B5F">
        <w:rPr>
          <w:b w:val="0"/>
        </w:rPr>
        <w:t>.  El gasto de nómina se redujo en un 9% para un ahorro total de $3, 830</w:t>
      </w:r>
      <w:r w:rsidR="00CE1B5F">
        <w:rPr>
          <w:b w:val="0"/>
        </w:rPr>
        <w:t>,434.23. C</w:t>
      </w:r>
      <w:r w:rsidRPr="00CE1B5F">
        <w:rPr>
          <w:b w:val="0"/>
        </w:rPr>
        <w:t xml:space="preserve">orrespondiente a ésta partida debemos destacar que el ahorro en la nómina de confianza se redujo un 54% en comparación al cuatrienio anterior. </w:t>
      </w:r>
    </w:p>
    <w:p w:rsidR="004A1F89" w:rsidRDefault="004A1F89" w:rsidP="00CF4365">
      <w:pPr>
        <w:pStyle w:val="NoSpacing"/>
        <w:spacing w:line="276" w:lineRule="auto"/>
        <w:jc w:val="both"/>
        <w:rPr>
          <w:b w:val="0"/>
        </w:rPr>
      </w:pPr>
    </w:p>
    <w:p w:rsidR="004A1F89" w:rsidRDefault="004A1F89" w:rsidP="004A1F89">
      <w:pPr>
        <w:pStyle w:val="NoSpacing"/>
        <w:spacing w:line="276" w:lineRule="auto"/>
        <w:jc w:val="both"/>
        <w:rPr>
          <w:b w:val="0"/>
        </w:rPr>
      </w:pPr>
      <w:r w:rsidRPr="008655BF">
        <w:rPr>
          <w:b w:val="0"/>
          <w:highlight w:val="cyan"/>
        </w:rPr>
        <w:t>Cabe mencionar que</w:t>
      </w:r>
      <w:r>
        <w:rPr>
          <w:b w:val="0"/>
        </w:rPr>
        <w:t xml:space="preserve"> la Oficina del Contralor realizó</w:t>
      </w:r>
      <w:r w:rsidRPr="004A1F89">
        <w:rPr>
          <w:b w:val="0"/>
        </w:rPr>
        <w:t xml:space="preserve"> una auditoria que cubrió el periodo del 1 de julio de 2009 hasta el 30 de junio de 2013. El informe de la auditoria reflejo cuatro hallazgos relacionados con la propiedad y los almacenes de materiales de la ARV</w:t>
      </w:r>
      <w:r w:rsidRPr="008655BF">
        <w:rPr>
          <w:b w:val="0"/>
          <w:highlight w:val="cyan"/>
        </w:rPr>
        <w:t>, a saber</w:t>
      </w:r>
      <w:r w:rsidRPr="004A1F89">
        <w:rPr>
          <w:b w:val="0"/>
        </w:rPr>
        <w:t xml:space="preserve">: </w:t>
      </w:r>
    </w:p>
    <w:p w:rsidR="004A1F89" w:rsidRPr="004A1F89" w:rsidRDefault="004A1F89" w:rsidP="004A1F89">
      <w:pPr>
        <w:pStyle w:val="NoSpacing"/>
        <w:spacing w:line="276" w:lineRule="auto"/>
        <w:jc w:val="both"/>
        <w:rPr>
          <w:b w:val="0"/>
        </w:rPr>
      </w:pPr>
    </w:p>
    <w:p w:rsidR="004A1F89" w:rsidRPr="004A1F89" w:rsidRDefault="004A1F89" w:rsidP="004A1F89">
      <w:pPr>
        <w:pStyle w:val="NoSpacing"/>
        <w:spacing w:line="276" w:lineRule="auto"/>
        <w:ind w:left="720" w:hanging="720"/>
        <w:jc w:val="both"/>
        <w:rPr>
          <w:b w:val="0"/>
        </w:rPr>
      </w:pPr>
      <w:r w:rsidRPr="004A1F89">
        <w:rPr>
          <w:b w:val="0"/>
        </w:rPr>
        <w:t>•</w:t>
      </w:r>
      <w:r w:rsidRPr="004A1F89">
        <w:rPr>
          <w:b w:val="0"/>
        </w:rPr>
        <w:tab/>
        <w:t>Ausencia de Investigaciones administrativas sobre la pérdida o desaparición de computadoras portátiles</w:t>
      </w:r>
    </w:p>
    <w:p w:rsidR="004A1F89" w:rsidRPr="004A1F89" w:rsidRDefault="004A1F89" w:rsidP="004A1F89">
      <w:pPr>
        <w:pStyle w:val="NoSpacing"/>
        <w:spacing w:line="276" w:lineRule="auto"/>
        <w:ind w:left="720" w:hanging="720"/>
        <w:jc w:val="both"/>
        <w:rPr>
          <w:b w:val="0"/>
        </w:rPr>
      </w:pPr>
      <w:r w:rsidRPr="004A1F89">
        <w:rPr>
          <w:b w:val="0"/>
        </w:rPr>
        <w:t>•</w:t>
      </w:r>
      <w:r w:rsidRPr="004A1F89">
        <w:rPr>
          <w:b w:val="0"/>
        </w:rPr>
        <w:tab/>
        <w:t>Ausencia de procedimientos internos para regir las operaciones relacionadas con la propiedad y con los almacenes de materiales</w:t>
      </w:r>
    </w:p>
    <w:p w:rsidR="004A1F89" w:rsidRPr="004A1F89" w:rsidRDefault="004A1F89" w:rsidP="004A1F89">
      <w:pPr>
        <w:pStyle w:val="NoSpacing"/>
        <w:spacing w:line="276" w:lineRule="auto"/>
        <w:jc w:val="both"/>
        <w:rPr>
          <w:b w:val="0"/>
        </w:rPr>
      </w:pPr>
      <w:r w:rsidRPr="004A1F89">
        <w:rPr>
          <w:b w:val="0"/>
        </w:rPr>
        <w:t>•</w:t>
      </w:r>
      <w:r w:rsidRPr="004A1F89">
        <w:rPr>
          <w:b w:val="0"/>
        </w:rPr>
        <w:tab/>
        <w:t>Deficiencia relacionada con el decomiso de propiedad</w:t>
      </w:r>
    </w:p>
    <w:p w:rsidR="004A1F89" w:rsidRDefault="004A1F89" w:rsidP="004A1F89">
      <w:pPr>
        <w:pStyle w:val="NoSpacing"/>
        <w:spacing w:line="276" w:lineRule="auto"/>
        <w:ind w:left="720" w:hanging="720"/>
        <w:jc w:val="both"/>
        <w:rPr>
          <w:b w:val="0"/>
        </w:rPr>
      </w:pPr>
      <w:r w:rsidRPr="004A1F89">
        <w:rPr>
          <w:b w:val="0"/>
        </w:rPr>
        <w:t>•</w:t>
      </w:r>
      <w:r w:rsidRPr="004A1F89">
        <w:rPr>
          <w:b w:val="0"/>
        </w:rPr>
        <w:tab/>
        <w:t>Falta de controles adecuados para el manejo y el control de la propiedad adquirida para los consumidores</w:t>
      </w:r>
    </w:p>
    <w:p w:rsidR="004A1F89" w:rsidRPr="004A1F89" w:rsidRDefault="004A1F89" w:rsidP="004A1F89">
      <w:pPr>
        <w:pStyle w:val="NoSpacing"/>
        <w:spacing w:line="276" w:lineRule="auto"/>
        <w:ind w:left="720" w:hanging="720"/>
        <w:jc w:val="both"/>
        <w:rPr>
          <w:b w:val="0"/>
        </w:rPr>
      </w:pPr>
    </w:p>
    <w:p w:rsidR="004A1F89" w:rsidRPr="004A1F89" w:rsidRDefault="004A1F89" w:rsidP="004A1F89">
      <w:pPr>
        <w:pStyle w:val="NoSpacing"/>
        <w:spacing w:line="276" w:lineRule="auto"/>
        <w:jc w:val="both"/>
        <w:rPr>
          <w:b w:val="0"/>
        </w:rPr>
      </w:pPr>
      <w:r w:rsidRPr="008655BF">
        <w:rPr>
          <w:b w:val="0"/>
          <w:highlight w:val="cyan"/>
        </w:rPr>
        <w:t>Con el fin de atender lo anterior, entre los años 2013-2016</w:t>
      </w:r>
      <w:r>
        <w:rPr>
          <w:b w:val="0"/>
        </w:rPr>
        <w:t xml:space="preserve"> la ARV promulgó</w:t>
      </w:r>
      <w:r w:rsidRPr="004A1F89">
        <w:rPr>
          <w:b w:val="0"/>
        </w:rPr>
        <w:t xml:space="preserve"> cuatro procedimientos internos para establecer los controles, la seguridad y la disposición de los activos fijos, así como las operaciones relacionadas con los almacenes de materiales.</w:t>
      </w:r>
    </w:p>
    <w:p w:rsidR="004A1F89" w:rsidRPr="004A1F89" w:rsidRDefault="004A1F89" w:rsidP="004A1F89">
      <w:pPr>
        <w:pStyle w:val="NoSpacing"/>
        <w:spacing w:line="276" w:lineRule="auto"/>
        <w:jc w:val="both"/>
        <w:rPr>
          <w:b w:val="0"/>
        </w:rPr>
      </w:pPr>
    </w:p>
    <w:p w:rsidR="004A1F89" w:rsidRPr="004A1F89" w:rsidRDefault="004A1F89" w:rsidP="004A1F89">
      <w:pPr>
        <w:pStyle w:val="NoSpacing"/>
        <w:spacing w:line="276" w:lineRule="auto"/>
        <w:jc w:val="both"/>
        <w:rPr>
          <w:b w:val="0"/>
        </w:rPr>
      </w:pPr>
      <w:r w:rsidRPr="008655BF">
        <w:rPr>
          <w:b w:val="0"/>
          <w:highlight w:val="cyan"/>
        </w:rPr>
        <w:t>Por otro lado</w:t>
      </w:r>
      <w:r w:rsidRPr="004A1F89">
        <w:rPr>
          <w:b w:val="0"/>
        </w:rPr>
        <w:t xml:space="preserve"> la agencia cumplió con un cien por ciento </w:t>
      </w:r>
      <w:r>
        <w:rPr>
          <w:b w:val="0"/>
        </w:rPr>
        <w:t>(</w:t>
      </w:r>
      <w:r w:rsidRPr="004A1F89">
        <w:rPr>
          <w:b w:val="0"/>
        </w:rPr>
        <w:t>100%</w:t>
      </w:r>
      <w:r>
        <w:rPr>
          <w:b w:val="0"/>
        </w:rPr>
        <w:t>)</w:t>
      </w:r>
      <w:r w:rsidRPr="004A1F89">
        <w:rPr>
          <w:b w:val="0"/>
        </w:rPr>
        <w:t xml:space="preserve"> en la evaluación bianual al 30 de junio de 2015, realizada por el Programa de Control Interno y de Prevención (PROCIP) de la Oficina del Contralor. Para el periodo </w:t>
      </w:r>
      <w:r>
        <w:rPr>
          <w:b w:val="0"/>
        </w:rPr>
        <w:t xml:space="preserve">previamente </w:t>
      </w:r>
      <w:r w:rsidRPr="004A1F89">
        <w:rPr>
          <w:b w:val="0"/>
        </w:rPr>
        <w:t xml:space="preserve">evaluado al 30 de junio 2013 la agencia no cumplió satisfactoriamente con los criterios </w:t>
      </w:r>
      <w:r w:rsidRPr="008655BF">
        <w:rPr>
          <w:b w:val="0"/>
          <w:highlight w:val="cyan"/>
        </w:rPr>
        <w:t>establecidos</w:t>
      </w:r>
      <w:r w:rsidRPr="004A1F89">
        <w:rPr>
          <w:b w:val="0"/>
        </w:rPr>
        <w:t>.</w:t>
      </w:r>
    </w:p>
    <w:p w:rsidR="004A1F89" w:rsidRPr="004A1F89" w:rsidRDefault="004A1F89" w:rsidP="004A1F89">
      <w:pPr>
        <w:pStyle w:val="NoSpacing"/>
        <w:spacing w:line="276" w:lineRule="auto"/>
        <w:jc w:val="both"/>
        <w:rPr>
          <w:b w:val="0"/>
        </w:rPr>
      </w:pPr>
    </w:p>
    <w:p w:rsidR="004A1F89" w:rsidRPr="004A1F89" w:rsidRDefault="004A1F89" w:rsidP="004A1F89">
      <w:pPr>
        <w:pStyle w:val="NoSpacing"/>
        <w:spacing w:line="276" w:lineRule="auto"/>
        <w:jc w:val="both"/>
        <w:rPr>
          <w:b w:val="0"/>
        </w:rPr>
      </w:pPr>
      <w:r>
        <w:rPr>
          <w:b w:val="0"/>
        </w:rPr>
        <w:t>La ARV formalizó</w:t>
      </w:r>
      <w:r w:rsidRPr="004A1F89">
        <w:rPr>
          <w:b w:val="0"/>
        </w:rPr>
        <w:t xml:space="preserve"> tres contratos de arrendamiento en los pueblos de Arecibo, Coamo y San Juan, con una reducción de canon de arrendamiento anual y gastos adm</w:t>
      </w:r>
      <w:r>
        <w:rPr>
          <w:b w:val="0"/>
        </w:rPr>
        <w:t>inistrativos en más de $700,000.</w:t>
      </w:r>
      <w:r w:rsidRPr="004A1F89">
        <w:rPr>
          <w:b w:val="0"/>
        </w:rPr>
        <w:t>00 anuales. Un acuerdo colaborativo para el uso de las facilidades de la ARV con</w:t>
      </w:r>
      <w:r>
        <w:rPr>
          <w:b w:val="0"/>
        </w:rPr>
        <w:t xml:space="preserve"> la Administración del Centro Mé</w:t>
      </w:r>
      <w:r w:rsidRPr="004A1F89">
        <w:rPr>
          <w:b w:val="0"/>
        </w:rPr>
        <w:t xml:space="preserve">dico de Rio Piedras y otro con el municipio de Florida </w:t>
      </w:r>
      <w:r w:rsidRPr="008655BF">
        <w:rPr>
          <w:b w:val="0"/>
          <w:highlight w:val="cyan"/>
        </w:rPr>
        <w:t>trajo</w:t>
      </w:r>
      <w:r w:rsidRPr="004A1F89">
        <w:rPr>
          <w:b w:val="0"/>
        </w:rPr>
        <w:t xml:space="preserve"> una reducción en gastos administrativos de $300,000.00 anuales aproximada</w:t>
      </w:r>
      <w:r>
        <w:rPr>
          <w:b w:val="0"/>
        </w:rPr>
        <w:t xml:space="preserve">mente. Estos cambios redujeron </w:t>
      </w:r>
      <w:r w:rsidRPr="004A1F89">
        <w:rPr>
          <w:b w:val="0"/>
        </w:rPr>
        <w:t xml:space="preserve">en un 10% el gasto de espacios de oficinas. </w:t>
      </w:r>
    </w:p>
    <w:p w:rsidR="00CF4365" w:rsidRPr="002D79E5" w:rsidRDefault="00CF4365" w:rsidP="00CF4365">
      <w:pPr>
        <w:pStyle w:val="NoSpacing"/>
        <w:spacing w:line="276" w:lineRule="auto"/>
        <w:jc w:val="both"/>
        <w:rPr>
          <w:rFonts w:eastAsia="Calibri"/>
          <w:szCs w:val="24"/>
        </w:rPr>
      </w:pPr>
    </w:p>
    <w:p w:rsidR="00CF4365" w:rsidRDefault="00CF4365" w:rsidP="00CF4365">
      <w:pPr>
        <w:spacing w:line="276" w:lineRule="auto"/>
        <w:jc w:val="both"/>
        <w:rPr>
          <w:b w:val="0"/>
        </w:rPr>
      </w:pPr>
      <w:r>
        <w:rPr>
          <w:b w:val="0"/>
        </w:rPr>
        <w:t>Estamos en la mejor disposición de aclarar cualquier duda o abundar sobre la información presentada.</w:t>
      </w:r>
    </w:p>
    <w:p w:rsidR="00CF4365" w:rsidRDefault="00CF4365" w:rsidP="00CF4365">
      <w:pPr>
        <w:spacing w:line="276" w:lineRule="auto"/>
        <w:jc w:val="both"/>
        <w:rPr>
          <w:b w:val="0"/>
        </w:rPr>
      </w:pPr>
    </w:p>
    <w:p w:rsidR="00CF4365" w:rsidRDefault="00CF4365" w:rsidP="00CF4365">
      <w:pPr>
        <w:jc w:val="both"/>
        <w:rPr>
          <w:b w:val="0"/>
        </w:rPr>
      </w:pPr>
      <w:r>
        <w:rPr>
          <w:b w:val="0"/>
        </w:rPr>
        <w:t>Cordialmente,</w:t>
      </w:r>
    </w:p>
    <w:p w:rsidR="00CF4365" w:rsidRDefault="00CF4365" w:rsidP="00CF4365">
      <w:pPr>
        <w:jc w:val="both"/>
        <w:rPr>
          <w:b w:val="0"/>
        </w:rPr>
      </w:pPr>
    </w:p>
    <w:p w:rsidR="00CF4365" w:rsidRDefault="00CF4365" w:rsidP="00CF4365">
      <w:pPr>
        <w:jc w:val="both"/>
        <w:rPr>
          <w:b w:val="0"/>
        </w:rPr>
      </w:pPr>
    </w:p>
    <w:p w:rsidR="004A1F89" w:rsidRDefault="004A1F89" w:rsidP="00CF4365">
      <w:pPr>
        <w:jc w:val="both"/>
        <w:rPr>
          <w:b w:val="0"/>
        </w:rPr>
      </w:pPr>
    </w:p>
    <w:p w:rsidR="00CF4365" w:rsidRDefault="00CF4365" w:rsidP="00CF4365">
      <w:pPr>
        <w:jc w:val="both"/>
        <w:rPr>
          <w:b w:val="0"/>
        </w:rPr>
      </w:pPr>
      <w:r>
        <w:rPr>
          <w:b w:val="0"/>
        </w:rPr>
        <w:t>Lcdo. Iván A. Clemente Delgado</w:t>
      </w:r>
    </w:p>
    <w:p w:rsidR="004B6FCA" w:rsidRPr="00DB148A" w:rsidRDefault="00CF4365" w:rsidP="00DB148A">
      <w:pPr>
        <w:jc w:val="both"/>
        <w:rPr>
          <w:b w:val="0"/>
        </w:rPr>
      </w:pPr>
      <w:r>
        <w:rPr>
          <w:b w:val="0"/>
        </w:rPr>
        <w:t>Administrador</w:t>
      </w:r>
    </w:p>
    <w:sectPr w:rsidR="004B6FCA" w:rsidRPr="00DB148A" w:rsidSect="005F6D5E">
      <w:headerReference w:type="default" r:id="rId8"/>
      <w:headerReference w:type="first" r:id="rId9"/>
      <w:footerReference w:type="first" r:id="rId10"/>
      <w:type w:val="oddPage"/>
      <w:pgSz w:w="12240" w:h="15840" w:code="1"/>
      <w:pgMar w:top="810" w:right="1440" w:bottom="1440" w:left="1440" w:header="547" w:footer="706" w:gutter="0"/>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C7" w:rsidRDefault="002B54C7">
      <w:r>
        <w:separator/>
      </w:r>
    </w:p>
  </w:endnote>
  <w:endnote w:type="continuationSeparator" w:id="0">
    <w:p w:rsidR="002B54C7" w:rsidRDefault="002B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CA" w:rsidRDefault="000B44C3" w:rsidP="004B6FCA">
    <w:pPr>
      <w:pStyle w:val="Footer"/>
      <w:tabs>
        <w:tab w:val="clear" w:pos="8640"/>
        <w:tab w:val="right" w:pos="9360"/>
      </w:tabs>
      <w:ind w:hanging="810"/>
      <w:rPr>
        <w:b w:val="0"/>
        <w:sz w:val="16"/>
        <w:szCs w:val="16"/>
      </w:rPr>
    </w:pPr>
    <w:r w:rsidRPr="000B44C3">
      <w:t xml:space="preserve"> </w:t>
    </w:r>
    <w:r w:rsidR="004B6FCA">
      <w:rPr>
        <w:b w:val="0"/>
        <w:sz w:val="16"/>
        <w:szCs w:val="16"/>
      </w:rPr>
      <w:t>Integrando a las</w:t>
    </w:r>
    <w:r w:rsidR="004B6FCA" w:rsidRPr="00311DCD">
      <w:rPr>
        <w:b w:val="0"/>
        <w:sz w:val="16"/>
        <w:szCs w:val="16"/>
      </w:rPr>
      <w:t xml:space="preserve"> P</w:t>
    </w:r>
    <w:r w:rsidR="004B6FCA">
      <w:rPr>
        <w:b w:val="0"/>
        <w:sz w:val="16"/>
        <w:szCs w:val="16"/>
      </w:rPr>
      <w:t>ersonas</w:t>
    </w:r>
    <w:r w:rsidR="004B6FCA" w:rsidRPr="00311DCD">
      <w:rPr>
        <w:b w:val="0"/>
        <w:sz w:val="16"/>
        <w:szCs w:val="16"/>
      </w:rPr>
      <w:t xml:space="preserve"> </w:t>
    </w:r>
    <w:r w:rsidR="004B6FCA">
      <w:rPr>
        <w:b w:val="0"/>
        <w:sz w:val="16"/>
        <w:szCs w:val="16"/>
      </w:rPr>
      <w:t>con</w:t>
    </w:r>
    <w:r w:rsidR="004B6FCA" w:rsidRPr="00311DCD">
      <w:rPr>
        <w:b w:val="0"/>
        <w:sz w:val="16"/>
        <w:szCs w:val="16"/>
      </w:rPr>
      <w:t xml:space="preserve"> </w:t>
    </w:r>
    <w:r w:rsidR="004B6FCA">
      <w:rPr>
        <w:b w:val="0"/>
        <w:sz w:val="16"/>
        <w:szCs w:val="16"/>
      </w:rPr>
      <w:t xml:space="preserve">Impedimentos a la </w:t>
    </w:r>
    <w:r w:rsidR="004B6FCA" w:rsidRPr="00311DCD">
      <w:rPr>
        <w:b w:val="0"/>
        <w:sz w:val="16"/>
        <w:szCs w:val="16"/>
      </w:rPr>
      <w:t xml:space="preserve"> F</w:t>
    </w:r>
    <w:r w:rsidR="004B6FCA">
      <w:rPr>
        <w:b w:val="0"/>
        <w:sz w:val="16"/>
        <w:szCs w:val="16"/>
      </w:rPr>
      <w:t>uerza</w:t>
    </w:r>
    <w:r w:rsidR="004B6FCA" w:rsidRPr="00311DCD">
      <w:rPr>
        <w:b w:val="0"/>
        <w:sz w:val="16"/>
        <w:szCs w:val="16"/>
      </w:rPr>
      <w:t xml:space="preserve"> L</w:t>
    </w:r>
    <w:r w:rsidR="004B6FCA">
      <w:rPr>
        <w:b w:val="0"/>
        <w:sz w:val="16"/>
        <w:szCs w:val="16"/>
      </w:rPr>
      <w:t>aboral y una</w:t>
    </w:r>
    <w:r w:rsidR="004B6FCA" w:rsidRPr="00311DCD">
      <w:rPr>
        <w:b w:val="0"/>
        <w:sz w:val="16"/>
        <w:szCs w:val="16"/>
      </w:rPr>
      <w:t xml:space="preserve"> </w:t>
    </w:r>
    <w:r w:rsidR="004B6FCA">
      <w:rPr>
        <w:b w:val="0"/>
        <w:sz w:val="16"/>
        <w:szCs w:val="16"/>
      </w:rPr>
      <w:t>Vida</w:t>
    </w:r>
    <w:r w:rsidR="004B6FCA" w:rsidRPr="00311DCD">
      <w:rPr>
        <w:b w:val="0"/>
        <w:sz w:val="16"/>
        <w:szCs w:val="16"/>
      </w:rPr>
      <w:t xml:space="preserve"> </w:t>
    </w:r>
    <w:r w:rsidR="004B6FCA">
      <w:rPr>
        <w:b w:val="0"/>
        <w:sz w:val="16"/>
        <w:szCs w:val="16"/>
      </w:rPr>
      <w:t>más</w:t>
    </w:r>
    <w:r w:rsidR="004B6FCA" w:rsidRPr="00311DCD">
      <w:rPr>
        <w:b w:val="0"/>
        <w:sz w:val="16"/>
        <w:szCs w:val="16"/>
      </w:rPr>
      <w:t xml:space="preserve"> I</w:t>
    </w:r>
    <w:r w:rsidR="004B6FCA">
      <w:rPr>
        <w:b w:val="0"/>
        <w:sz w:val="16"/>
        <w:szCs w:val="16"/>
      </w:rPr>
      <w:t>ndependiente</w:t>
    </w:r>
    <w:r w:rsidR="004B6FCA" w:rsidRPr="00311DCD">
      <w:rPr>
        <w:b w:val="0"/>
        <w:sz w:val="16"/>
        <w:szCs w:val="16"/>
      </w:rPr>
      <w:t>!</w:t>
    </w:r>
    <w:r w:rsidR="004B6FCA">
      <w:rPr>
        <w:b w:val="0"/>
        <w:sz w:val="16"/>
        <w:szCs w:val="16"/>
      </w:rPr>
      <w:t xml:space="preserve">           </w:t>
    </w:r>
    <w:r w:rsidR="004B6FCA">
      <w:rPr>
        <w:b w:val="0"/>
        <w:sz w:val="16"/>
        <w:szCs w:val="16"/>
      </w:rPr>
      <w:tab/>
    </w:r>
  </w:p>
  <w:p w:rsidR="004B6FCA" w:rsidRPr="00AC6759" w:rsidRDefault="004B6FCA" w:rsidP="004B6FCA">
    <w:pPr>
      <w:pStyle w:val="Footer"/>
      <w:ind w:hanging="810"/>
      <w:rPr>
        <w:sz w:val="16"/>
        <w:szCs w:val="16"/>
      </w:rPr>
    </w:pPr>
    <w:r>
      <w:rPr>
        <w:rFonts w:ascii="Arial" w:hAnsi="Arial" w:cs="Arial"/>
        <w:b w:val="0"/>
        <w:noProof/>
        <w:sz w:val="12"/>
        <w:szCs w:val="12"/>
        <w:lang w:eastAsia="es-PR"/>
      </w:rPr>
      <w:drawing>
        <wp:anchor distT="0" distB="0" distL="114300" distR="114300" simplePos="0" relativeHeight="251657728" behindDoc="1" locked="0" layoutInCell="1" allowOverlap="1">
          <wp:simplePos x="0" y="0"/>
          <wp:positionH relativeFrom="column">
            <wp:posOffset>5089525</wp:posOffset>
          </wp:positionH>
          <wp:positionV relativeFrom="paragraph">
            <wp:posOffset>21590</wp:posOffset>
          </wp:positionV>
          <wp:extent cx="1071245" cy="87630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46309"/>
                  <a:stretch>
                    <a:fillRect/>
                  </a:stretch>
                </pic:blipFill>
                <pic:spPr bwMode="auto">
                  <a:xfrm>
                    <a:off x="0" y="0"/>
                    <a:ext cx="1071245" cy="876300"/>
                  </a:xfrm>
                  <a:prstGeom prst="rect">
                    <a:avLst/>
                  </a:prstGeom>
                  <a:noFill/>
                  <a:ln w="9525">
                    <a:noFill/>
                    <a:miter lim="800000"/>
                    <a:headEnd/>
                    <a:tailEnd/>
                  </a:ln>
                </pic:spPr>
              </pic:pic>
            </a:graphicData>
          </a:graphic>
        </wp:anchor>
      </w:drawing>
    </w:r>
    <w:r>
      <w:rPr>
        <w:sz w:val="16"/>
        <w:szCs w:val="16"/>
      </w:rPr>
      <w:t xml:space="preserve"> Oficina de Políticas Operacionales</w:t>
    </w:r>
  </w:p>
  <w:p w:rsidR="004B6FCA" w:rsidRPr="00311DCD" w:rsidRDefault="004B6FCA" w:rsidP="004B6FCA">
    <w:pPr>
      <w:pStyle w:val="Footer"/>
      <w:ind w:hanging="810"/>
      <w:rPr>
        <w:b w:val="0"/>
        <w:sz w:val="16"/>
        <w:szCs w:val="16"/>
      </w:rPr>
    </w:pPr>
    <w:r>
      <w:rPr>
        <w:b w:val="0"/>
        <w:sz w:val="16"/>
        <w:szCs w:val="16"/>
      </w:rPr>
      <w:t xml:space="preserve"> </w:t>
    </w:r>
    <w:r w:rsidRPr="00311DCD">
      <w:rPr>
        <w:b w:val="0"/>
        <w:sz w:val="16"/>
        <w:szCs w:val="16"/>
      </w:rPr>
      <w:t>PO BOX 191118, San Juan PR 00919-1118</w:t>
    </w:r>
  </w:p>
  <w:p w:rsidR="004B6FCA" w:rsidRDefault="004B6FCA" w:rsidP="004B6FCA">
    <w:pPr>
      <w:pStyle w:val="Footer"/>
      <w:ind w:hanging="810"/>
      <w:rPr>
        <w:b w:val="0"/>
        <w:sz w:val="16"/>
        <w:szCs w:val="16"/>
      </w:rPr>
    </w:pPr>
    <w:r>
      <w:rPr>
        <w:b w:val="0"/>
        <w:sz w:val="16"/>
        <w:szCs w:val="16"/>
      </w:rPr>
      <w:t xml:space="preserve"> </w:t>
    </w:r>
    <w:r w:rsidRPr="00311DCD">
      <w:rPr>
        <w:b w:val="0"/>
        <w:sz w:val="16"/>
        <w:szCs w:val="16"/>
      </w:rPr>
      <w:t>787-729-0160   * Fax 787-72</w:t>
    </w:r>
    <w:r>
      <w:rPr>
        <w:b w:val="0"/>
        <w:sz w:val="16"/>
        <w:szCs w:val="16"/>
      </w:rPr>
      <w:t>8-8070</w:t>
    </w:r>
  </w:p>
  <w:p w:rsidR="004B6FCA" w:rsidRPr="00311DCD" w:rsidRDefault="004B6FCA" w:rsidP="004B6FCA">
    <w:pPr>
      <w:pStyle w:val="Footer"/>
      <w:ind w:hanging="810"/>
      <w:rPr>
        <w:b w:val="0"/>
        <w:sz w:val="16"/>
        <w:szCs w:val="16"/>
      </w:rPr>
    </w:pPr>
    <w:r>
      <w:rPr>
        <w:sz w:val="16"/>
        <w:szCs w:val="16"/>
      </w:rPr>
      <w:t xml:space="preserve"> </w:t>
    </w:r>
    <w:r w:rsidRPr="00A60466">
      <w:rPr>
        <w:sz w:val="16"/>
        <w:szCs w:val="16"/>
      </w:rPr>
      <w:t xml:space="preserve">Aprobado por la Comisión Estatal de Elecciones </w:t>
    </w:r>
    <w:r w:rsidRPr="00A60466">
      <w:rPr>
        <w:bCs/>
        <w:sz w:val="20"/>
      </w:rPr>
      <w:t>CEE-SA-16-3961</w:t>
    </w:r>
    <w:r>
      <w:rPr>
        <w:bCs/>
        <w:sz w:val="20"/>
      </w:rPr>
      <w:t xml:space="preserve"> </w:t>
    </w:r>
  </w:p>
  <w:p w:rsidR="004B6FCA" w:rsidRPr="004B70BA" w:rsidRDefault="004B6FCA" w:rsidP="004B6FCA">
    <w:pPr>
      <w:pStyle w:val="Footer"/>
      <w:ind w:hanging="810"/>
      <w:rPr>
        <w:b w:val="0"/>
        <w:sz w:val="16"/>
        <w:szCs w:val="16"/>
      </w:rPr>
    </w:pPr>
  </w:p>
  <w:p w:rsidR="000B44C3" w:rsidRPr="000B44C3" w:rsidRDefault="000B44C3" w:rsidP="000B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C7" w:rsidRDefault="002B54C7">
      <w:r>
        <w:separator/>
      </w:r>
    </w:p>
  </w:footnote>
  <w:footnote w:type="continuationSeparator" w:id="0">
    <w:p w:rsidR="002B54C7" w:rsidRDefault="002B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A3" w:rsidRPr="00FF6CA3" w:rsidRDefault="00FF6CA3" w:rsidP="000B44C3">
    <w:pPr>
      <w:pStyle w:val="Header"/>
      <w:rPr>
        <w:sz w:val="16"/>
        <w:szCs w:val="16"/>
      </w:rPr>
    </w:pPr>
    <w:r w:rsidRPr="00FF6CA3">
      <w:rPr>
        <w:sz w:val="16"/>
        <w:szCs w:val="16"/>
      </w:rPr>
      <w:t xml:space="preserve">INFORME DE LOGROS </w:t>
    </w:r>
  </w:p>
  <w:p w:rsidR="000B44C3" w:rsidRPr="00FF6CA3" w:rsidRDefault="005A764B" w:rsidP="000B44C3">
    <w:pPr>
      <w:pStyle w:val="Header"/>
      <w:rPr>
        <w:sz w:val="16"/>
        <w:szCs w:val="16"/>
      </w:rPr>
    </w:pPr>
    <w:r>
      <w:rPr>
        <w:sz w:val="16"/>
        <w:szCs w:val="16"/>
      </w:rPr>
      <w:t>12 de octubre</w:t>
    </w:r>
    <w:r w:rsidR="004B6FCA" w:rsidRPr="00FF6CA3">
      <w:rPr>
        <w:sz w:val="16"/>
        <w:szCs w:val="16"/>
      </w:rPr>
      <w:t xml:space="preserve"> de 2016</w:t>
    </w:r>
  </w:p>
  <w:p w:rsidR="000B44C3" w:rsidRPr="00FF6CA3" w:rsidRDefault="000B44C3" w:rsidP="000B44C3">
    <w:pPr>
      <w:pStyle w:val="Header"/>
      <w:rPr>
        <w:sz w:val="16"/>
        <w:szCs w:val="16"/>
      </w:rPr>
    </w:pPr>
    <w:r w:rsidRPr="00FF6CA3">
      <w:rPr>
        <w:sz w:val="16"/>
        <w:szCs w:val="16"/>
      </w:rPr>
      <w:t xml:space="preserve">Página </w:t>
    </w:r>
    <w:sdt>
      <w:sdtPr>
        <w:rPr>
          <w:sz w:val="16"/>
          <w:szCs w:val="16"/>
        </w:rPr>
        <w:id w:val="629206473"/>
        <w:docPartObj>
          <w:docPartGallery w:val="Page Numbers (Top of Page)"/>
          <w:docPartUnique/>
        </w:docPartObj>
      </w:sdtPr>
      <w:sdtEndPr>
        <w:rPr>
          <w:noProof/>
        </w:rPr>
      </w:sdtEndPr>
      <w:sdtContent>
        <w:r w:rsidR="00BD61CB" w:rsidRPr="00FF6CA3">
          <w:rPr>
            <w:sz w:val="16"/>
            <w:szCs w:val="16"/>
          </w:rPr>
          <w:fldChar w:fldCharType="begin"/>
        </w:r>
        <w:r w:rsidRPr="00FF6CA3">
          <w:rPr>
            <w:sz w:val="16"/>
            <w:szCs w:val="16"/>
          </w:rPr>
          <w:instrText xml:space="preserve"> PAGE   \* MERGEFORMAT </w:instrText>
        </w:r>
        <w:r w:rsidR="00BD61CB" w:rsidRPr="00FF6CA3">
          <w:rPr>
            <w:sz w:val="16"/>
            <w:szCs w:val="16"/>
          </w:rPr>
          <w:fldChar w:fldCharType="separate"/>
        </w:r>
        <w:r w:rsidR="00E91DCC">
          <w:rPr>
            <w:noProof/>
            <w:sz w:val="16"/>
            <w:szCs w:val="16"/>
          </w:rPr>
          <w:t>2</w:t>
        </w:r>
        <w:r w:rsidR="00BD61CB" w:rsidRPr="00FF6CA3">
          <w:rPr>
            <w:noProof/>
            <w:sz w:val="16"/>
            <w:szCs w:val="16"/>
          </w:rPr>
          <w:fldChar w:fldCharType="end"/>
        </w:r>
      </w:sdtContent>
    </w:sdt>
  </w:p>
  <w:p w:rsidR="000B44C3" w:rsidRPr="00FF6CA3" w:rsidRDefault="000B44C3" w:rsidP="000B44C3">
    <w:pPr>
      <w:pStyle w:val="Header"/>
      <w:rPr>
        <w:szCs w:val="24"/>
      </w:rPr>
    </w:pPr>
  </w:p>
  <w:p w:rsidR="000B44C3" w:rsidRDefault="000B44C3" w:rsidP="0084320E">
    <w:pPr>
      <w:pStyle w:val="Header"/>
      <w:jc w:val="both"/>
      <w:rPr>
        <w:rFonts w:ascii="Arial" w:hAnsi="Arial" w:cs="Arial"/>
        <w:b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CA" w:rsidRPr="00311DCD" w:rsidRDefault="004B6FCA" w:rsidP="004B6FCA">
    <w:pPr>
      <w:tabs>
        <w:tab w:val="left" w:pos="3967"/>
      </w:tabs>
      <w:outlineLvl w:val="0"/>
      <w:rPr>
        <w:b w:val="0"/>
        <w:sz w:val="18"/>
        <w:szCs w:val="18"/>
      </w:rPr>
    </w:pPr>
    <w:r w:rsidRPr="00311DCD">
      <w:rPr>
        <w:noProof/>
        <w:szCs w:val="24"/>
        <w:lang w:eastAsia="es-PR"/>
      </w:rPr>
      <w:drawing>
        <wp:anchor distT="0" distB="0" distL="114300" distR="114300" simplePos="0" relativeHeight="251656704" behindDoc="1" locked="0" layoutInCell="1" allowOverlap="1">
          <wp:simplePos x="0" y="0"/>
          <wp:positionH relativeFrom="column">
            <wp:posOffset>-675005</wp:posOffset>
          </wp:positionH>
          <wp:positionV relativeFrom="paragraph">
            <wp:posOffset>-153670</wp:posOffset>
          </wp:positionV>
          <wp:extent cx="638175" cy="809625"/>
          <wp:effectExtent l="0" t="0" r="9525" b="9525"/>
          <wp:wrapTight wrapText="bothSides">
            <wp:wrapPolygon edited="0">
              <wp:start x="3869" y="0"/>
              <wp:lineTo x="0" y="1525"/>
              <wp:lineTo x="0" y="17788"/>
              <wp:lineTo x="6448" y="21346"/>
              <wp:lineTo x="14830" y="21346"/>
              <wp:lineTo x="21278" y="17788"/>
              <wp:lineTo x="21278" y="1525"/>
              <wp:lineTo x="17409" y="0"/>
              <wp:lineTo x="3869" y="0"/>
            </wp:wrapPolygon>
          </wp:wrapTight>
          <wp:docPr id="14" name="Picture 14" descr="cid:image001.png@01CEB5D9.8F9E9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5D9.8F9E9AF0"/>
                  <pic:cNvPicPr>
                    <a:picLocks noChangeAspect="1" noChangeArrowheads="1"/>
                  </pic:cNvPicPr>
                </pic:nvPicPr>
                <pic:blipFill>
                  <a:blip r:embed="rId1" r:link="rId2"/>
                  <a:srcRect/>
                  <a:stretch>
                    <a:fillRect/>
                  </a:stretch>
                </pic:blipFill>
                <pic:spPr bwMode="auto">
                  <a:xfrm>
                    <a:off x="0" y="0"/>
                    <a:ext cx="638175" cy="809625"/>
                  </a:xfrm>
                  <a:prstGeom prst="rect">
                    <a:avLst/>
                  </a:prstGeom>
                  <a:noFill/>
                  <a:ln w="9525">
                    <a:noFill/>
                    <a:miter lim="800000"/>
                    <a:headEnd/>
                    <a:tailEnd/>
                  </a:ln>
                </pic:spPr>
              </pic:pic>
            </a:graphicData>
          </a:graphic>
        </wp:anchor>
      </w:drawing>
    </w:r>
    <w:r w:rsidRPr="00311DCD">
      <w:rPr>
        <w:b w:val="0"/>
        <w:sz w:val="18"/>
        <w:szCs w:val="18"/>
      </w:rPr>
      <w:t xml:space="preserve">ESTADO LIBRE ASOCIADO DE </w:t>
    </w:r>
    <w:r>
      <w:rPr>
        <w:b w:val="0"/>
        <w:sz w:val="18"/>
        <w:szCs w:val="18"/>
      </w:rPr>
      <w:tab/>
    </w:r>
  </w:p>
  <w:p w:rsidR="004B6FCA" w:rsidRPr="00311DCD" w:rsidRDefault="004B6FCA" w:rsidP="004B6FCA">
    <w:pPr>
      <w:outlineLvl w:val="0"/>
      <w:rPr>
        <w:b w:val="0"/>
        <w:sz w:val="28"/>
        <w:szCs w:val="28"/>
      </w:rPr>
    </w:pPr>
    <w:r w:rsidRPr="00311DCD">
      <w:rPr>
        <w:b w:val="0"/>
        <w:sz w:val="28"/>
        <w:szCs w:val="28"/>
      </w:rPr>
      <w:t>P U E R T O  R I C O</w:t>
    </w:r>
  </w:p>
  <w:p w:rsidR="004B6FCA" w:rsidRPr="00311DCD" w:rsidRDefault="0041241E" w:rsidP="004B6FCA">
    <w:pPr>
      <w:outlineLvl w:val="0"/>
      <w:rPr>
        <w:b w:val="0"/>
        <w:sz w:val="16"/>
        <w:szCs w:val="16"/>
      </w:rPr>
    </w:pPr>
    <w:r>
      <w:rPr>
        <w:b w:val="0"/>
        <w:noProof/>
        <w:sz w:val="18"/>
        <w:szCs w:val="18"/>
        <w:lang w:eastAsia="es-PR"/>
      </w:rPr>
      <mc:AlternateContent>
        <mc:Choice Requires="wps">
          <w:drawing>
            <wp:anchor distT="0" distB="0" distL="114300" distR="114300" simplePos="0" relativeHeight="251658752" behindDoc="1" locked="0" layoutInCell="1" allowOverlap="1">
              <wp:simplePos x="0" y="0"/>
              <wp:positionH relativeFrom="column">
                <wp:posOffset>19050</wp:posOffset>
              </wp:positionH>
              <wp:positionV relativeFrom="paragraph">
                <wp:posOffset>66675</wp:posOffset>
              </wp:positionV>
              <wp:extent cx="1809750" cy="9525"/>
              <wp:effectExtent l="0" t="0" r="1905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1A26B" id="_x0000_t32" coordsize="21600,21600" o:spt="32" o:oned="t" path="m,l21600,21600e" filled="f">
              <v:path arrowok="t" fillok="f" o:connecttype="none"/>
              <o:lock v:ext="edit" shapetype="t"/>
            </v:shapetype>
            <v:shape id="AutoShape 3" o:spid="_x0000_s1026" type="#_x0000_t32" style="position:absolute;margin-left:1.5pt;margin-top:5.25pt;width:14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"/>
          </w:pict>
        </mc:Fallback>
      </mc:AlternateContent>
    </w:r>
    <w:r w:rsidR="004B6FCA" w:rsidRPr="00311DCD">
      <w:rPr>
        <w:b w:val="0"/>
        <w:sz w:val="16"/>
        <w:szCs w:val="16"/>
      </w:rPr>
      <w:tab/>
    </w:r>
  </w:p>
  <w:p w:rsidR="004B6FCA" w:rsidRPr="00311DCD" w:rsidRDefault="004B6FCA" w:rsidP="004B6FCA">
    <w:pPr>
      <w:outlineLvl w:val="0"/>
      <w:rPr>
        <w:b w:val="0"/>
        <w:sz w:val="16"/>
        <w:szCs w:val="16"/>
      </w:rPr>
    </w:pPr>
    <w:r>
      <w:rPr>
        <w:b w:val="0"/>
        <w:sz w:val="16"/>
        <w:szCs w:val="16"/>
      </w:rPr>
      <w:t xml:space="preserve"> </w:t>
    </w:r>
    <w:r w:rsidRPr="00311DCD">
      <w:rPr>
        <w:b w:val="0"/>
        <w:sz w:val="16"/>
        <w:szCs w:val="16"/>
      </w:rPr>
      <w:t>Administración de Rehabilitación Vocacional</w:t>
    </w:r>
  </w:p>
  <w:p w:rsidR="004B6FCA" w:rsidRDefault="004B6FCA" w:rsidP="004B6FCA">
    <w:pPr>
      <w:rPr>
        <w:b w:val="0"/>
        <w:szCs w:val="22"/>
      </w:rPr>
    </w:pPr>
    <w:r>
      <w:rPr>
        <w:b w:val="0"/>
        <w:szCs w:val="22"/>
      </w:rPr>
      <w:t xml:space="preserve">     </w:t>
    </w:r>
  </w:p>
  <w:p w:rsidR="004B6FCA" w:rsidRPr="00B32D40" w:rsidRDefault="004B6FCA" w:rsidP="004B6FCA">
    <w:pPr>
      <w:rPr>
        <w:b w:val="0"/>
        <w:i/>
        <w:sz w:val="18"/>
        <w:szCs w:val="18"/>
      </w:rPr>
    </w:pPr>
    <w:r w:rsidRPr="00C9053D">
      <w:rPr>
        <w:rFonts w:ascii="Monotype Corsiva" w:hAnsi="Monotype Corsiva"/>
        <w:b w:val="0"/>
        <w:sz w:val="18"/>
        <w:szCs w:val="18"/>
      </w:rPr>
      <w:t xml:space="preserve">  </w:t>
    </w:r>
    <w:r w:rsidRPr="00B32D40">
      <w:rPr>
        <w:b w:val="0"/>
        <w:i/>
        <w:sz w:val="18"/>
        <w:szCs w:val="18"/>
      </w:rPr>
      <w:t>Lcdo. Iván A. Clemente Delgado</w:t>
    </w:r>
  </w:p>
  <w:p w:rsidR="000B44C3" w:rsidRPr="00285910" w:rsidRDefault="004B6FCA" w:rsidP="004B6FCA">
    <w:pPr>
      <w:pStyle w:val="Header"/>
      <w:rPr>
        <w:szCs w:val="24"/>
      </w:rPr>
    </w:pPr>
    <w:r>
      <w:rPr>
        <w:b w:val="0"/>
        <w:i/>
        <w:sz w:val="18"/>
        <w:szCs w:val="18"/>
      </w:rPr>
      <w:t xml:space="preserve"> </w:t>
    </w:r>
    <w:r w:rsidRPr="00AC6759">
      <w:rPr>
        <w:b w:val="0"/>
        <w:i/>
        <w:sz w:val="18"/>
        <w:szCs w:val="18"/>
      </w:rPr>
      <w:t>Administrador</w:t>
    </w:r>
    <w:r w:rsidRPr="00311DCD">
      <w:rPr>
        <w:noProof/>
        <w:szCs w:val="2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6692C56"/>
    <w:multiLevelType w:val="hybridMultilevel"/>
    <w:tmpl w:val="153C23F0"/>
    <w:lvl w:ilvl="0" w:tplc="AB9E8056">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6DC63AE"/>
    <w:multiLevelType w:val="hybridMultilevel"/>
    <w:tmpl w:val="CC822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45F27"/>
    <w:multiLevelType w:val="hybridMultilevel"/>
    <w:tmpl w:val="682E1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908DC"/>
    <w:multiLevelType w:val="hybridMultilevel"/>
    <w:tmpl w:val="A358EF82"/>
    <w:lvl w:ilvl="0" w:tplc="D0027D6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14E0"/>
    <w:multiLevelType w:val="hybridMultilevel"/>
    <w:tmpl w:val="DA64D0F8"/>
    <w:lvl w:ilvl="0" w:tplc="67106944">
      <w:start w:val="14"/>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232B8"/>
    <w:multiLevelType w:val="hybridMultilevel"/>
    <w:tmpl w:val="F9A85620"/>
    <w:lvl w:ilvl="0" w:tplc="04090001">
      <w:start w:val="1"/>
      <w:numFmt w:val="bullet"/>
      <w:lvlText w:val=""/>
      <w:lvlJc w:val="left"/>
      <w:pPr>
        <w:ind w:left="720" w:hanging="360"/>
      </w:pPr>
      <w:rPr>
        <w:rFonts w:ascii="Symbol" w:hAnsi="Symbol" w:hint="default"/>
      </w:rPr>
    </w:lvl>
    <w:lvl w:ilvl="1" w:tplc="500A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B04F89"/>
    <w:multiLevelType w:val="multilevel"/>
    <w:tmpl w:val="F106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3844BE"/>
    <w:multiLevelType w:val="hybridMultilevel"/>
    <w:tmpl w:val="6AFEF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123FF"/>
    <w:multiLevelType w:val="hybridMultilevel"/>
    <w:tmpl w:val="92EC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F417C"/>
    <w:multiLevelType w:val="hybridMultilevel"/>
    <w:tmpl w:val="F91AEFEC"/>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0">
    <w:nsid w:val="1C4378A8"/>
    <w:multiLevelType w:val="hybridMultilevel"/>
    <w:tmpl w:val="35CAE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B0C28"/>
    <w:multiLevelType w:val="hybridMultilevel"/>
    <w:tmpl w:val="0022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9197E"/>
    <w:multiLevelType w:val="hybridMultilevel"/>
    <w:tmpl w:val="46220688"/>
    <w:lvl w:ilvl="0" w:tplc="2B28EEB6">
      <w:start w:val="1"/>
      <w:numFmt w:val="bullet"/>
      <w:lvlText w:val=""/>
      <w:lvlJc w:val="left"/>
      <w:pPr>
        <w:tabs>
          <w:tab w:val="num" w:pos="1510"/>
        </w:tabs>
        <w:ind w:left="1510" w:hanging="360"/>
      </w:pPr>
      <w:rPr>
        <w:rFonts w:ascii="Wingdings 3" w:hAnsi="Wingdings 3"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nsid w:val="1F9F4406"/>
    <w:multiLevelType w:val="hybridMultilevel"/>
    <w:tmpl w:val="AD36A1DA"/>
    <w:lvl w:ilvl="0" w:tplc="A1B29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C02B56"/>
    <w:multiLevelType w:val="hybridMultilevel"/>
    <w:tmpl w:val="D49C1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4D35E2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26827C13"/>
    <w:multiLevelType w:val="hybridMultilevel"/>
    <w:tmpl w:val="7BA00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C09D8"/>
    <w:multiLevelType w:val="hybridMultilevel"/>
    <w:tmpl w:val="B45A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2344E"/>
    <w:multiLevelType w:val="hybridMultilevel"/>
    <w:tmpl w:val="8A208ED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EE667E9"/>
    <w:multiLevelType w:val="hybridMultilevel"/>
    <w:tmpl w:val="D2988978"/>
    <w:lvl w:ilvl="0" w:tplc="9648C37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97D93"/>
    <w:multiLevelType w:val="hybridMultilevel"/>
    <w:tmpl w:val="7138E842"/>
    <w:lvl w:ilvl="0" w:tplc="0409000D">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1">
    <w:nsid w:val="31030DA0"/>
    <w:multiLevelType w:val="hybridMultilevel"/>
    <w:tmpl w:val="B356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43E7AC0"/>
    <w:multiLevelType w:val="hybridMultilevel"/>
    <w:tmpl w:val="2FFAD2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B3148D"/>
    <w:multiLevelType w:val="hybridMultilevel"/>
    <w:tmpl w:val="138C27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8C6DEE"/>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3571583"/>
    <w:multiLevelType w:val="hybridMultilevel"/>
    <w:tmpl w:val="7CC6595E"/>
    <w:lvl w:ilvl="0" w:tplc="0CFEB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4117197"/>
    <w:multiLevelType w:val="singleLevel"/>
    <w:tmpl w:val="044AD16E"/>
    <w:lvl w:ilvl="0">
      <w:start w:val="1"/>
      <w:numFmt w:val="decimal"/>
      <w:lvlText w:val="%1."/>
      <w:lvlJc w:val="left"/>
      <w:pPr>
        <w:tabs>
          <w:tab w:val="num" w:pos="1440"/>
        </w:tabs>
        <w:ind w:left="1440" w:hanging="720"/>
      </w:pPr>
      <w:rPr>
        <w:rFonts w:hint="default"/>
      </w:rPr>
    </w:lvl>
  </w:abstractNum>
  <w:abstractNum w:abstractNumId="27">
    <w:nsid w:val="4859364B"/>
    <w:multiLevelType w:val="hybridMultilevel"/>
    <w:tmpl w:val="29AE7CBC"/>
    <w:lvl w:ilvl="0" w:tplc="683E85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A47A8A"/>
    <w:multiLevelType w:val="hybridMultilevel"/>
    <w:tmpl w:val="86284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46631"/>
    <w:multiLevelType w:val="multilevel"/>
    <w:tmpl w:val="76E465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FF1BDB"/>
    <w:multiLevelType w:val="hybridMultilevel"/>
    <w:tmpl w:val="B0B23E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51392D97"/>
    <w:multiLevelType w:val="multilevel"/>
    <w:tmpl w:val="153C23F0"/>
    <w:lvl w:ilvl="0">
      <w:start w:val="1"/>
      <w:numFmt w:val="bullet"/>
      <w:lvlText w:val=""/>
      <w:lvlJc w:val="left"/>
      <w:pPr>
        <w:tabs>
          <w:tab w:val="num" w:pos="1140"/>
        </w:tabs>
        <w:ind w:left="114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2">
    <w:nsid w:val="539F3BB9"/>
    <w:multiLevelType w:val="hybridMultilevel"/>
    <w:tmpl w:val="BD9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47FB3"/>
    <w:multiLevelType w:val="hybridMultilevel"/>
    <w:tmpl w:val="5A9ED868"/>
    <w:lvl w:ilvl="0" w:tplc="427840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FE3271"/>
    <w:multiLevelType w:val="hybridMultilevel"/>
    <w:tmpl w:val="B4F4A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1E696D"/>
    <w:multiLevelType w:val="hybridMultilevel"/>
    <w:tmpl w:val="76E465F2"/>
    <w:lvl w:ilvl="0" w:tplc="AB9E8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C04633"/>
    <w:multiLevelType w:val="hybridMultilevel"/>
    <w:tmpl w:val="C4DA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296B21"/>
    <w:multiLevelType w:val="hybridMultilevel"/>
    <w:tmpl w:val="8214B31C"/>
    <w:lvl w:ilvl="0" w:tplc="7B5C1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8828FC"/>
    <w:multiLevelType w:val="hybridMultilevel"/>
    <w:tmpl w:val="DC80B706"/>
    <w:lvl w:ilvl="0" w:tplc="B5C4B7D4">
      <w:start w:val="24"/>
      <w:numFmt w:val="bullet"/>
      <w:lvlText w:val=""/>
      <w:lvlJc w:val="left"/>
      <w:pPr>
        <w:tabs>
          <w:tab w:val="num" w:pos="1440"/>
        </w:tabs>
        <w:ind w:left="1440" w:hanging="720"/>
      </w:pPr>
      <w:rPr>
        <w:rFonts w:ascii="Wingdings" w:eastAsia="Times New Roman" w:hAnsi="Wingdings"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71977EBD"/>
    <w:multiLevelType w:val="hybridMultilevel"/>
    <w:tmpl w:val="EEB2DF50"/>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0">
    <w:nsid w:val="75313357"/>
    <w:multiLevelType w:val="hybridMultilevel"/>
    <w:tmpl w:val="71846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E7FBE"/>
    <w:multiLevelType w:val="hybridMultilevel"/>
    <w:tmpl w:val="5A303FF8"/>
    <w:lvl w:ilvl="0" w:tplc="DDAC9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C62AE"/>
    <w:multiLevelType w:val="hybridMultilevel"/>
    <w:tmpl w:val="ECCE3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5"/>
  </w:num>
  <w:num w:numId="4">
    <w:abstractNumId w:val="29"/>
  </w:num>
  <w:num w:numId="5">
    <w:abstractNumId w:val="23"/>
  </w:num>
  <w:num w:numId="6">
    <w:abstractNumId w:val="0"/>
  </w:num>
  <w:num w:numId="7">
    <w:abstractNumId w:val="31"/>
  </w:num>
  <w:num w:numId="8">
    <w:abstractNumId w:val="18"/>
  </w:num>
  <w:num w:numId="9">
    <w:abstractNumId w:val="3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41"/>
  </w:num>
  <w:num w:numId="15">
    <w:abstractNumId w:val="6"/>
  </w:num>
  <w:num w:numId="16">
    <w:abstractNumId w:val="30"/>
  </w:num>
  <w:num w:numId="17">
    <w:abstractNumId w:val="32"/>
  </w:num>
  <w:num w:numId="18">
    <w:abstractNumId w:val="34"/>
  </w:num>
  <w:num w:numId="19">
    <w:abstractNumId w:val="16"/>
  </w:num>
  <w:num w:numId="20">
    <w:abstractNumId w:val="10"/>
  </w:num>
  <w:num w:numId="21">
    <w:abstractNumId w:val="2"/>
  </w:num>
  <w:num w:numId="22">
    <w:abstractNumId w:val="19"/>
  </w:num>
  <w:num w:numId="23">
    <w:abstractNumId w:val="38"/>
  </w:num>
  <w:num w:numId="24">
    <w:abstractNumId w:val="40"/>
  </w:num>
  <w:num w:numId="25">
    <w:abstractNumId w:val="28"/>
  </w:num>
  <w:num w:numId="26">
    <w:abstractNumId w:val="11"/>
  </w:num>
  <w:num w:numId="27">
    <w:abstractNumId w:val="33"/>
  </w:num>
  <w:num w:numId="28">
    <w:abstractNumId w:val="13"/>
  </w:num>
  <w:num w:numId="29">
    <w:abstractNumId w:val="37"/>
  </w:num>
  <w:num w:numId="30">
    <w:abstractNumId w:val="25"/>
  </w:num>
  <w:num w:numId="31">
    <w:abstractNumId w:val="26"/>
  </w:num>
  <w:num w:numId="32">
    <w:abstractNumId w:val="4"/>
  </w:num>
  <w:num w:numId="33">
    <w:abstractNumId w:val="8"/>
  </w:num>
  <w:num w:numId="34">
    <w:abstractNumId w:val="17"/>
  </w:num>
  <w:num w:numId="35">
    <w:abstractNumId w:val="21"/>
  </w:num>
  <w:num w:numId="36">
    <w:abstractNumId w:val="5"/>
  </w:num>
  <w:num w:numId="37">
    <w:abstractNumId w:val="9"/>
  </w:num>
  <w:num w:numId="38">
    <w:abstractNumId w:val="14"/>
  </w:num>
  <w:num w:numId="39">
    <w:abstractNumId w:val="39"/>
  </w:num>
  <w:num w:numId="40">
    <w:abstractNumId w:val="42"/>
  </w:num>
  <w:num w:numId="41">
    <w:abstractNumId w:val="7"/>
  </w:num>
  <w:num w:numId="42">
    <w:abstractNumId w:val="22"/>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Web2"/>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B"/>
    <w:rsid w:val="00005AF5"/>
    <w:rsid w:val="000110F3"/>
    <w:rsid w:val="00013E33"/>
    <w:rsid w:val="00016383"/>
    <w:rsid w:val="00016C80"/>
    <w:rsid w:val="0001758D"/>
    <w:rsid w:val="00017868"/>
    <w:rsid w:val="00026546"/>
    <w:rsid w:val="00036190"/>
    <w:rsid w:val="00037E83"/>
    <w:rsid w:val="000464F0"/>
    <w:rsid w:val="00051A98"/>
    <w:rsid w:val="00053C61"/>
    <w:rsid w:val="00060D50"/>
    <w:rsid w:val="00064FFA"/>
    <w:rsid w:val="00065FCB"/>
    <w:rsid w:val="00066DEB"/>
    <w:rsid w:val="00067D94"/>
    <w:rsid w:val="00075F14"/>
    <w:rsid w:val="00080842"/>
    <w:rsid w:val="00084AFE"/>
    <w:rsid w:val="0008552A"/>
    <w:rsid w:val="000857C9"/>
    <w:rsid w:val="00090365"/>
    <w:rsid w:val="00092DAB"/>
    <w:rsid w:val="000930FD"/>
    <w:rsid w:val="000952FC"/>
    <w:rsid w:val="000A05C8"/>
    <w:rsid w:val="000A6E4C"/>
    <w:rsid w:val="000B2A0D"/>
    <w:rsid w:val="000B44C3"/>
    <w:rsid w:val="000C1C86"/>
    <w:rsid w:val="000C4A35"/>
    <w:rsid w:val="000C4CF8"/>
    <w:rsid w:val="000C6B10"/>
    <w:rsid w:val="000D357B"/>
    <w:rsid w:val="000D65C1"/>
    <w:rsid w:val="000D6783"/>
    <w:rsid w:val="000D6F9E"/>
    <w:rsid w:val="000E5562"/>
    <w:rsid w:val="000F0E38"/>
    <w:rsid w:val="000F10B1"/>
    <w:rsid w:val="000F1F96"/>
    <w:rsid w:val="000F6C77"/>
    <w:rsid w:val="001005FA"/>
    <w:rsid w:val="001028AC"/>
    <w:rsid w:val="001049CE"/>
    <w:rsid w:val="00113EA6"/>
    <w:rsid w:val="00114092"/>
    <w:rsid w:val="0011442B"/>
    <w:rsid w:val="00115144"/>
    <w:rsid w:val="00120B57"/>
    <w:rsid w:val="001231C6"/>
    <w:rsid w:val="00130334"/>
    <w:rsid w:val="00141738"/>
    <w:rsid w:val="00141B76"/>
    <w:rsid w:val="0014300B"/>
    <w:rsid w:val="001451BF"/>
    <w:rsid w:val="00146388"/>
    <w:rsid w:val="001476CB"/>
    <w:rsid w:val="001503B1"/>
    <w:rsid w:val="00150640"/>
    <w:rsid w:val="0015481D"/>
    <w:rsid w:val="00155ABF"/>
    <w:rsid w:val="00157FC0"/>
    <w:rsid w:val="00165398"/>
    <w:rsid w:val="00181147"/>
    <w:rsid w:val="00181CB1"/>
    <w:rsid w:val="001973B8"/>
    <w:rsid w:val="001A1CF7"/>
    <w:rsid w:val="001A2E80"/>
    <w:rsid w:val="001A3D1E"/>
    <w:rsid w:val="001A60CF"/>
    <w:rsid w:val="001A6669"/>
    <w:rsid w:val="001B16D8"/>
    <w:rsid w:val="001B48B1"/>
    <w:rsid w:val="001B69E4"/>
    <w:rsid w:val="001B72C4"/>
    <w:rsid w:val="001C48DD"/>
    <w:rsid w:val="001D0CD6"/>
    <w:rsid w:val="001D53AD"/>
    <w:rsid w:val="001E4165"/>
    <w:rsid w:val="001E5EDD"/>
    <w:rsid w:val="001F464D"/>
    <w:rsid w:val="001F734E"/>
    <w:rsid w:val="00200290"/>
    <w:rsid w:val="00200391"/>
    <w:rsid w:val="002013EA"/>
    <w:rsid w:val="00202EE9"/>
    <w:rsid w:val="00203DFE"/>
    <w:rsid w:val="00203F9A"/>
    <w:rsid w:val="00214586"/>
    <w:rsid w:val="002158CF"/>
    <w:rsid w:val="0021653F"/>
    <w:rsid w:val="002206DD"/>
    <w:rsid w:val="0022136E"/>
    <w:rsid w:val="002213BF"/>
    <w:rsid w:val="00225B21"/>
    <w:rsid w:val="00226DDE"/>
    <w:rsid w:val="00231BD0"/>
    <w:rsid w:val="00242B7D"/>
    <w:rsid w:val="002446AB"/>
    <w:rsid w:val="00250C17"/>
    <w:rsid w:val="002553DE"/>
    <w:rsid w:val="00261D8D"/>
    <w:rsid w:val="00270B27"/>
    <w:rsid w:val="00273E1A"/>
    <w:rsid w:val="00275490"/>
    <w:rsid w:val="00275D20"/>
    <w:rsid w:val="0027609F"/>
    <w:rsid w:val="002766F5"/>
    <w:rsid w:val="00277318"/>
    <w:rsid w:val="002832EE"/>
    <w:rsid w:val="0028556E"/>
    <w:rsid w:val="00285910"/>
    <w:rsid w:val="00285C05"/>
    <w:rsid w:val="00287439"/>
    <w:rsid w:val="002900EA"/>
    <w:rsid w:val="0029731C"/>
    <w:rsid w:val="002973BA"/>
    <w:rsid w:val="002A7139"/>
    <w:rsid w:val="002B542B"/>
    <w:rsid w:val="002B54C7"/>
    <w:rsid w:val="002B5D2F"/>
    <w:rsid w:val="002C0602"/>
    <w:rsid w:val="002C08D6"/>
    <w:rsid w:val="002C1338"/>
    <w:rsid w:val="002D481E"/>
    <w:rsid w:val="002D5BA8"/>
    <w:rsid w:val="002D6272"/>
    <w:rsid w:val="002D6565"/>
    <w:rsid w:val="002E363D"/>
    <w:rsid w:val="002E3767"/>
    <w:rsid w:val="002E416A"/>
    <w:rsid w:val="002F098E"/>
    <w:rsid w:val="002F10C4"/>
    <w:rsid w:val="002F2EE7"/>
    <w:rsid w:val="002F3E46"/>
    <w:rsid w:val="002F3FDE"/>
    <w:rsid w:val="002F552D"/>
    <w:rsid w:val="0030021F"/>
    <w:rsid w:val="003022B3"/>
    <w:rsid w:val="00304FCC"/>
    <w:rsid w:val="00305DA6"/>
    <w:rsid w:val="003070FB"/>
    <w:rsid w:val="00310E28"/>
    <w:rsid w:val="00311DCD"/>
    <w:rsid w:val="00314965"/>
    <w:rsid w:val="0031575D"/>
    <w:rsid w:val="00316206"/>
    <w:rsid w:val="00317522"/>
    <w:rsid w:val="00317EB5"/>
    <w:rsid w:val="00322BDC"/>
    <w:rsid w:val="00326295"/>
    <w:rsid w:val="003307F7"/>
    <w:rsid w:val="00331806"/>
    <w:rsid w:val="00331C35"/>
    <w:rsid w:val="003337E5"/>
    <w:rsid w:val="0034376F"/>
    <w:rsid w:val="00350EF1"/>
    <w:rsid w:val="00351DBA"/>
    <w:rsid w:val="00353981"/>
    <w:rsid w:val="00355F0A"/>
    <w:rsid w:val="00357173"/>
    <w:rsid w:val="00357BD3"/>
    <w:rsid w:val="003601AF"/>
    <w:rsid w:val="003628B7"/>
    <w:rsid w:val="00364265"/>
    <w:rsid w:val="0036471D"/>
    <w:rsid w:val="003668E0"/>
    <w:rsid w:val="003744E4"/>
    <w:rsid w:val="00375B17"/>
    <w:rsid w:val="00376230"/>
    <w:rsid w:val="003806A7"/>
    <w:rsid w:val="00393F91"/>
    <w:rsid w:val="003B5C43"/>
    <w:rsid w:val="003C3485"/>
    <w:rsid w:val="003C3C48"/>
    <w:rsid w:val="003C4060"/>
    <w:rsid w:val="003D7635"/>
    <w:rsid w:val="003E0453"/>
    <w:rsid w:val="003E292D"/>
    <w:rsid w:val="003E3E90"/>
    <w:rsid w:val="003E41B9"/>
    <w:rsid w:val="003F3C5A"/>
    <w:rsid w:val="003F5AAE"/>
    <w:rsid w:val="003F6C98"/>
    <w:rsid w:val="00403EAE"/>
    <w:rsid w:val="00405458"/>
    <w:rsid w:val="00405915"/>
    <w:rsid w:val="0041241E"/>
    <w:rsid w:val="0041520A"/>
    <w:rsid w:val="00417075"/>
    <w:rsid w:val="004245EB"/>
    <w:rsid w:val="00425B1A"/>
    <w:rsid w:val="00432856"/>
    <w:rsid w:val="00433CD0"/>
    <w:rsid w:val="0043665E"/>
    <w:rsid w:val="0044152D"/>
    <w:rsid w:val="004444F9"/>
    <w:rsid w:val="00446C6E"/>
    <w:rsid w:val="00450338"/>
    <w:rsid w:val="00450665"/>
    <w:rsid w:val="00454F2B"/>
    <w:rsid w:val="004559FE"/>
    <w:rsid w:val="004573E9"/>
    <w:rsid w:val="00465CB5"/>
    <w:rsid w:val="00466823"/>
    <w:rsid w:val="00473820"/>
    <w:rsid w:val="00474BB3"/>
    <w:rsid w:val="00474E00"/>
    <w:rsid w:val="00476941"/>
    <w:rsid w:val="004800A7"/>
    <w:rsid w:val="00480B8F"/>
    <w:rsid w:val="00482D98"/>
    <w:rsid w:val="00487A82"/>
    <w:rsid w:val="004967EE"/>
    <w:rsid w:val="004A1105"/>
    <w:rsid w:val="004A13FC"/>
    <w:rsid w:val="004A1F89"/>
    <w:rsid w:val="004B0DA4"/>
    <w:rsid w:val="004B6FCA"/>
    <w:rsid w:val="004C0E32"/>
    <w:rsid w:val="004C4B7A"/>
    <w:rsid w:val="004C59CA"/>
    <w:rsid w:val="004C5C44"/>
    <w:rsid w:val="004C767E"/>
    <w:rsid w:val="004D758F"/>
    <w:rsid w:val="004E0A0F"/>
    <w:rsid w:val="004E3E5D"/>
    <w:rsid w:val="004E59F8"/>
    <w:rsid w:val="004E6096"/>
    <w:rsid w:val="00501D35"/>
    <w:rsid w:val="00511DE6"/>
    <w:rsid w:val="005121EA"/>
    <w:rsid w:val="005141D4"/>
    <w:rsid w:val="00517BE2"/>
    <w:rsid w:val="00523440"/>
    <w:rsid w:val="0052395B"/>
    <w:rsid w:val="005263DE"/>
    <w:rsid w:val="0053121F"/>
    <w:rsid w:val="0054018A"/>
    <w:rsid w:val="0054070B"/>
    <w:rsid w:val="00542145"/>
    <w:rsid w:val="00542DC0"/>
    <w:rsid w:val="00543CEA"/>
    <w:rsid w:val="00545672"/>
    <w:rsid w:val="00556344"/>
    <w:rsid w:val="00556C27"/>
    <w:rsid w:val="00560C9E"/>
    <w:rsid w:val="00561607"/>
    <w:rsid w:val="00562821"/>
    <w:rsid w:val="00565447"/>
    <w:rsid w:val="0056723F"/>
    <w:rsid w:val="00571E09"/>
    <w:rsid w:val="0057301A"/>
    <w:rsid w:val="005748A2"/>
    <w:rsid w:val="00581714"/>
    <w:rsid w:val="00583C08"/>
    <w:rsid w:val="00587DE9"/>
    <w:rsid w:val="00595AE4"/>
    <w:rsid w:val="00597D9E"/>
    <w:rsid w:val="005A0D73"/>
    <w:rsid w:val="005A2B06"/>
    <w:rsid w:val="005A312D"/>
    <w:rsid w:val="005A4EA2"/>
    <w:rsid w:val="005A5A2D"/>
    <w:rsid w:val="005A6FC2"/>
    <w:rsid w:val="005A764B"/>
    <w:rsid w:val="005B287E"/>
    <w:rsid w:val="005C3302"/>
    <w:rsid w:val="005C3865"/>
    <w:rsid w:val="005C399A"/>
    <w:rsid w:val="005C7547"/>
    <w:rsid w:val="005C76CE"/>
    <w:rsid w:val="005D33B4"/>
    <w:rsid w:val="005D5178"/>
    <w:rsid w:val="005D5FEC"/>
    <w:rsid w:val="005D6004"/>
    <w:rsid w:val="005D7B99"/>
    <w:rsid w:val="005E2CF6"/>
    <w:rsid w:val="005E5E6D"/>
    <w:rsid w:val="005E7026"/>
    <w:rsid w:val="005F6D5E"/>
    <w:rsid w:val="00606174"/>
    <w:rsid w:val="006076AB"/>
    <w:rsid w:val="00616504"/>
    <w:rsid w:val="0062023F"/>
    <w:rsid w:val="006202A1"/>
    <w:rsid w:val="00624D6A"/>
    <w:rsid w:val="00634FF7"/>
    <w:rsid w:val="00636ADB"/>
    <w:rsid w:val="00651AE1"/>
    <w:rsid w:val="00654573"/>
    <w:rsid w:val="0065501C"/>
    <w:rsid w:val="006557CF"/>
    <w:rsid w:val="00660772"/>
    <w:rsid w:val="00666870"/>
    <w:rsid w:val="0066774F"/>
    <w:rsid w:val="00667B81"/>
    <w:rsid w:val="006711EB"/>
    <w:rsid w:val="006735CF"/>
    <w:rsid w:val="00673773"/>
    <w:rsid w:val="00673BA9"/>
    <w:rsid w:val="00676169"/>
    <w:rsid w:val="006827E1"/>
    <w:rsid w:val="00683D1F"/>
    <w:rsid w:val="00691DF3"/>
    <w:rsid w:val="00696322"/>
    <w:rsid w:val="00696665"/>
    <w:rsid w:val="006A0F05"/>
    <w:rsid w:val="006A1873"/>
    <w:rsid w:val="006A3903"/>
    <w:rsid w:val="006B1340"/>
    <w:rsid w:val="006B4739"/>
    <w:rsid w:val="006C0319"/>
    <w:rsid w:val="006C2137"/>
    <w:rsid w:val="006C74BA"/>
    <w:rsid w:val="006D0D67"/>
    <w:rsid w:val="006D1E6C"/>
    <w:rsid w:val="006E2D04"/>
    <w:rsid w:val="006E2D58"/>
    <w:rsid w:val="006E2F14"/>
    <w:rsid w:val="006E3A61"/>
    <w:rsid w:val="006F1F9D"/>
    <w:rsid w:val="00703D74"/>
    <w:rsid w:val="00705A10"/>
    <w:rsid w:val="007076E0"/>
    <w:rsid w:val="007174AC"/>
    <w:rsid w:val="0073084E"/>
    <w:rsid w:val="0073260F"/>
    <w:rsid w:val="00732B6E"/>
    <w:rsid w:val="0075228A"/>
    <w:rsid w:val="00760469"/>
    <w:rsid w:val="0076306B"/>
    <w:rsid w:val="00764585"/>
    <w:rsid w:val="00773DCB"/>
    <w:rsid w:val="00780935"/>
    <w:rsid w:val="007812F9"/>
    <w:rsid w:val="00786337"/>
    <w:rsid w:val="00786906"/>
    <w:rsid w:val="00792B84"/>
    <w:rsid w:val="00794DE2"/>
    <w:rsid w:val="00795844"/>
    <w:rsid w:val="007A0139"/>
    <w:rsid w:val="007A4E7E"/>
    <w:rsid w:val="007A7031"/>
    <w:rsid w:val="007B5E04"/>
    <w:rsid w:val="007B6B95"/>
    <w:rsid w:val="007C132F"/>
    <w:rsid w:val="007C157D"/>
    <w:rsid w:val="007C15D1"/>
    <w:rsid w:val="007C695E"/>
    <w:rsid w:val="007C6BF6"/>
    <w:rsid w:val="007C6CDA"/>
    <w:rsid w:val="007D0C47"/>
    <w:rsid w:val="007D3692"/>
    <w:rsid w:val="007D36FD"/>
    <w:rsid w:val="007D4F36"/>
    <w:rsid w:val="007D5E8C"/>
    <w:rsid w:val="007D6767"/>
    <w:rsid w:val="007D6F87"/>
    <w:rsid w:val="007E0DC3"/>
    <w:rsid w:val="007E4D72"/>
    <w:rsid w:val="007E6B4F"/>
    <w:rsid w:val="007F1A79"/>
    <w:rsid w:val="007F5635"/>
    <w:rsid w:val="007F74F3"/>
    <w:rsid w:val="00800D2C"/>
    <w:rsid w:val="00802ADE"/>
    <w:rsid w:val="00803753"/>
    <w:rsid w:val="00804C2C"/>
    <w:rsid w:val="00805B4F"/>
    <w:rsid w:val="00806361"/>
    <w:rsid w:val="008122AB"/>
    <w:rsid w:val="00813F66"/>
    <w:rsid w:val="00821216"/>
    <w:rsid w:val="00821685"/>
    <w:rsid w:val="00824E7A"/>
    <w:rsid w:val="0082558B"/>
    <w:rsid w:val="00827164"/>
    <w:rsid w:val="00827D7E"/>
    <w:rsid w:val="008313CF"/>
    <w:rsid w:val="00834604"/>
    <w:rsid w:val="008400FF"/>
    <w:rsid w:val="00842125"/>
    <w:rsid w:val="0084320E"/>
    <w:rsid w:val="00844A01"/>
    <w:rsid w:val="00846BE4"/>
    <w:rsid w:val="00851B69"/>
    <w:rsid w:val="00851C8E"/>
    <w:rsid w:val="00853205"/>
    <w:rsid w:val="00854158"/>
    <w:rsid w:val="008549DE"/>
    <w:rsid w:val="00856E43"/>
    <w:rsid w:val="008625B4"/>
    <w:rsid w:val="00862998"/>
    <w:rsid w:val="008655BF"/>
    <w:rsid w:val="00877E48"/>
    <w:rsid w:val="008808EB"/>
    <w:rsid w:val="00880C9B"/>
    <w:rsid w:val="00881E61"/>
    <w:rsid w:val="008845DF"/>
    <w:rsid w:val="008856C1"/>
    <w:rsid w:val="008860F0"/>
    <w:rsid w:val="00890C33"/>
    <w:rsid w:val="0089339B"/>
    <w:rsid w:val="00894D19"/>
    <w:rsid w:val="0089600E"/>
    <w:rsid w:val="008970C3"/>
    <w:rsid w:val="008A02C0"/>
    <w:rsid w:val="008A1D9F"/>
    <w:rsid w:val="008A50BD"/>
    <w:rsid w:val="008B202C"/>
    <w:rsid w:val="008C1AA8"/>
    <w:rsid w:val="008C1C63"/>
    <w:rsid w:val="008C1E8B"/>
    <w:rsid w:val="008C2BA7"/>
    <w:rsid w:val="008C661F"/>
    <w:rsid w:val="008D1243"/>
    <w:rsid w:val="008D212B"/>
    <w:rsid w:val="008D30BF"/>
    <w:rsid w:val="008D39E7"/>
    <w:rsid w:val="008D446D"/>
    <w:rsid w:val="008D5B79"/>
    <w:rsid w:val="008E7535"/>
    <w:rsid w:val="008F3839"/>
    <w:rsid w:val="008F432B"/>
    <w:rsid w:val="008F7D3C"/>
    <w:rsid w:val="00900B01"/>
    <w:rsid w:val="00906102"/>
    <w:rsid w:val="00906B2E"/>
    <w:rsid w:val="00910DB1"/>
    <w:rsid w:val="00911167"/>
    <w:rsid w:val="00911A79"/>
    <w:rsid w:val="00912788"/>
    <w:rsid w:val="00923201"/>
    <w:rsid w:val="009251B5"/>
    <w:rsid w:val="009266F8"/>
    <w:rsid w:val="00926C3A"/>
    <w:rsid w:val="0092759B"/>
    <w:rsid w:val="0092780C"/>
    <w:rsid w:val="0093627A"/>
    <w:rsid w:val="00946CC3"/>
    <w:rsid w:val="0094728D"/>
    <w:rsid w:val="00950B44"/>
    <w:rsid w:val="00954287"/>
    <w:rsid w:val="0096624C"/>
    <w:rsid w:val="00967F1D"/>
    <w:rsid w:val="00971064"/>
    <w:rsid w:val="00975B7C"/>
    <w:rsid w:val="00980A49"/>
    <w:rsid w:val="00981EE9"/>
    <w:rsid w:val="0098779F"/>
    <w:rsid w:val="00991BBC"/>
    <w:rsid w:val="00993370"/>
    <w:rsid w:val="009958D2"/>
    <w:rsid w:val="009969E8"/>
    <w:rsid w:val="009A00D5"/>
    <w:rsid w:val="009A09B9"/>
    <w:rsid w:val="009A13F2"/>
    <w:rsid w:val="009A283D"/>
    <w:rsid w:val="009A6DCD"/>
    <w:rsid w:val="009B2BEF"/>
    <w:rsid w:val="009C3DD8"/>
    <w:rsid w:val="009C62CC"/>
    <w:rsid w:val="009C76B9"/>
    <w:rsid w:val="009D0021"/>
    <w:rsid w:val="009D1E25"/>
    <w:rsid w:val="009D737B"/>
    <w:rsid w:val="009D744D"/>
    <w:rsid w:val="009E3284"/>
    <w:rsid w:val="009F065C"/>
    <w:rsid w:val="009F2076"/>
    <w:rsid w:val="009F2561"/>
    <w:rsid w:val="009F3C82"/>
    <w:rsid w:val="009F5C26"/>
    <w:rsid w:val="009F6F9C"/>
    <w:rsid w:val="00A0427E"/>
    <w:rsid w:val="00A10E6B"/>
    <w:rsid w:val="00A16896"/>
    <w:rsid w:val="00A2071E"/>
    <w:rsid w:val="00A22935"/>
    <w:rsid w:val="00A254D9"/>
    <w:rsid w:val="00A278E5"/>
    <w:rsid w:val="00A309A5"/>
    <w:rsid w:val="00A31D70"/>
    <w:rsid w:val="00A33E75"/>
    <w:rsid w:val="00A4247D"/>
    <w:rsid w:val="00A43E06"/>
    <w:rsid w:val="00A45F49"/>
    <w:rsid w:val="00A46195"/>
    <w:rsid w:val="00A51CD9"/>
    <w:rsid w:val="00A52C89"/>
    <w:rsid w:val="00A575CC"/>
    <w:rsid w:val="00A67AAC"/>
    <w:rsid w:val="00A67D7A"/>
    <w:rsid w:val="00A74EA6"/>
    <w:rsid w:val="00A760BC"/>
    <w:rsid w:val="00A7705A"/>
    <w:rsid w:val="00A83E67"/>
    <w:rsid w:val="00A84035"/>
    <w:rsid w:val="00A85C7D"/>
    <w:rsid w:val="00A91049"/>
    <w:rsid w:val="00A9144C"/>
    <w:rsid w:val="00A944CD"/>
    <w:rsid w:val="00A97712"/>
    <w:rsid w:val="00AA47BC"/>
    <w:rsid w:val="00AB005E"/>
    <w:rsid w:val="00AB1557"/>
    <w:rsid w:val="00AB24CF"/>
    <w:rsid w:val="00AC1555"/>
    <w:rsid w:val="00AC35AB"/>
    <w:rsid w:val="00AC4A6C"/>
    <w:rsid w:val="00AC7C9F"/>
    <w:rsid w:val="00AD346B"/>
    <w:rsid w:val="00AD3B2D"/>
    <w:rsid w:val="00AF2776"/>
    <w:rsid w:val="00B004EB"/>
    <w:rsid w:val="00B05DE2"/>
    <w:rsid w:val="00B06F03"/>
    <w:rsid w:val="00B07F80"/>
    <w:rsid w:val="00B13F84"/>
    <w:rsid w:val="00B15CFE"/>
    <w:rsid w:val="00B22C4F"/>
    <w:rsid w:val="00B261C4"/>
    <w:rsid w:val="00B32D40"/>
    <w:rsid w:val="00B35A73"/>
    <w:rsid w:val="00B376D8"/>
    <w:rsid w:val="00B418CD"/>
    <w:rsid w:val="00B41E54"/>
    <w:rsid w:val="00B45CD2"/>
    <w:rsid w:val="00B46708"/>
    <w:rsid w:val="00B46ED5"/>
    <w:rsid w:val="00B47DF9"/>
    <w:rsid w:val="00B56C6C"/>
    <w:rsid w:val="00B6572B"/>
    <w:rsid w:val="00B66F0E"/>
    <w:rsid w:val="00B7312A"/>
    <w:rsid w:val="00B75132"/>
    <w:rsid w:val="00B76624"/>
    <w:rsid w:val="00B76FE4"/>
    <w:rsid w:val="00B84421"/>
    <w:rsid w:val="00B854D1"/>
    <w:rsid w:val="00B8560D"/>
    <w:rsid w:val="00B85AC8"/>
    <w:rsid w:val="00B86F8F"/>
    <w:rsid w:val="00B918FB"/>
    <w:rsid w:val="00BA290A"/>
    <w:rsid w:val="00BA5636"/>
    <w:rsid w:val="00BA5DC8"/>
    <w:rsid w:val="00BA7E3B"/>
    <w:rsid w:val="00BC09BE"/>
    <w:rsid w:val="00BC1F1B"/>
    <w:rsid w:val="00BC4C8F"/>
    <w:rsid w:val="00BC6B1F"/>
    <w:rsid w:val="00BD3C7F"/>
    <w:rsid w:val="00BD61CB"/>
    <w:rsid w:val="00BD6C2B"/>
    <w:rsid w:val="00BD75FB"/>
    <w:rsid w:val="00BE0684"/>
    <w:rsid w:val="00BE3DC9"/>
    <w:rsid w:val="00BE6403"/>
    <w:rsid w:val="00BF12A7"/>
    <w:rsid w:val="00BF18AF"/>
    <w:rsid w:val="00BF478F"/>
    <w:rsid w:val="00C00DD1"/>
    <w:rsid w:val="00C10D84"/>
    <w:rsid w:val="00C1150A"/>
    <w:rsid w:val="00C14796"/>
    <w:rsid w:val="00C168D1"/>
    <w:rsid w:val="00C22EB3"/>
    <w:rsid w:val="00C23BD6"/>
    <w:rsid w:val="00C2503B"/>
    <w:rsid w:val="00C27049"/>
    <w:rsid w:val="00C31872"/>
    <w:rsid w:val="00C35581"/>
    <w:rsid w:val="00C3650F"/>
    <w:rsid w:val="00C37013"/>
    <w:rsid w:val="00C37B97"/>
    <w:rsid w:val="00C37F72"/>
    <w:rsid w:val="00C42135"/>
    <w:rsid w:val="00C43457"/>
    <w:rsid w:val="00C5376D"/>
    <w:rsid w:val="00C53971"/>
    <w:rsid w:val="00C57114"/>
    <w:rsid w:val="00C57213"/>
    <w:rsid w:val="00C62531"/>
    <w:rsid w:val="00C6272D"/>
    <w:rsid w:val="00C70768"/>
    <w:rsid w:val="00C74974"/>
    <w:rsid w:val="00C8457B"/>
    <w:rsid w:val="00C867F8"/>
    <w:rsid w:val="00C9053D"/>
    <w:rsid w:val="00C91069"/>
    <w:rsid w:val="00C91A0D"/>
    <w:rsid w:val="00C96914"/>
    <w:rsid w:val="00CB46A8"/>
    <w:rsid w:val="00CB5CBC"/>
    <w:rsid w:val="00CB6851"/>
    <w:rsid w:val="00CC081A"/>
    <w:rsid w:val="00CC0CE9"/>
    <w:rsid w:val="00CC2881"/>
    <w:rsid w:val="00CC32CE"/>
    <w:rsid w:val="00CD0FC6"/>
    <w:rsid w:val="00CD18D7"/>
    <w:rsid w:val="00CD2FE6"/>
    <w:rsid w:val="00CD3A9A"/>
    <w:rsid w:val="00CD47C9"/>
    <w:rsid w:val="00CD5AE4"/>
    <w:rsid w:val="00CE03A1"/>
    <w:rsid w:val="00CE1B5F"/>
    <w:rsid w:val="00CE2279"/>
    <w:rsid w:val="00CE3D8E"/>
    <w:rsid w:val="00CE4027"/>
    <w:rsid w:val="00CE7E27"/>
    <w:rsid w:val="00CF4365"/>
    <w:rsid w:val="00CF5CB7"/>
    <w:rsid w:val="00CF6194"/>
    <w:rsid w:val="00CF636A"/>
    <w:rsid w:val="00CF694F"/>
    <w:rsid w:val="00D025F8"/>
    <w:rsid w:val="00D05240"/>
    <w:rsid w:val="00D14DFB"/>
    <w:rsid w:val="00D15BD5"/>
    <w:rsid w:val="00D15DC6"/>
    <w:rsid w:val="00D2154F"/>
    <w:rsid w:val="00D2289A"/>
    <w:rsid w:val="00D34AD0"/>
    <w:rsid w:val="00D374CE"/>
    <w:rsid w:val="00D40344"/>
    <w:rsid w:val="00D538DF"/>
    <w:rsid w:val="00D574E0"/>
    <w:rsid w:val="00D626D6"/>
    <w:rsid w:val="00D63CCC"/>
    <w:rsid w:val="00D67954"/>
    <w:rsid w:val="00D73E25"/>
    <w:rsid w:val="00D835D2"/>
    <w:rsid w:val="00D85866"/>
    <w:rsid w:val="00D85BCD"/>
    <w:rsid w:val="00D87688"/>
    <w:rsid w:val="00D93A9D"/>
    <w:rsid w:val="00DA0064"/>
    <w:rsid w:val="00DA6B75"/>
    <w:rsid w:val="00DB148A"/>
    <w:rsid w:val="00DB5771"/>
    <w:rsid w:val="00DB5EEB"/>
    <w:rsid w:val="00DC2E5A"/>
    <w:rsid w:val="00DC4EA4"/>
    <w:rsid w:val="00DC74D1"/>
    <w:rsid w:val="00DD01FD"/>
    <w:rsid w:val="00DD0830"/>
    <w:rsid w:val="00DD45B8"/>
    <w:rsid w:val="00DD5DCE"/>
    <w:rsid w:val="00DD69CA"/>
    <w:rsid w:val="00DD6F65"/>
    <w:rsid w:val="00DE22B6"/>
    <w:rsid w:val="00DE47D5"/>
    <w:rsid w:val="00DF3635"/>
    <w:rsid w:val="00DF58C0"/>
    <w:rsid w:val="00DF5FFF"/>
    <w:rsid w:val="00DF787B"/>
    <w:rsid w:val="00E00C3C"/>
    <w:rsid w:val="00E00E80"/>
    <w:rsid w:val="00E046E2"/>
    <w:rsid w:val="00E04D72"/>
    <w:rsid w:val="00E05087"/>
    <w:rsid w:val="00E13050"/>
    <w:rsid w:val="00E13EE0"/>
    <w:rsid w:val="00E15132"/>
    <w:rsid w:val="00E15DCC"/>
    <w:rsid w:val="00E1636A"/>
    <w:rsid w:val="00E21E6A"/>
    <w:rsid w:val="00E264CD"/>
    <w:rsid w:val="00E267B0"/>
    <w:rsid w:val="00E26EEE"/>
    <w:rsid w:val="00E34C8E"/>
    <w:rsid w:val="00E41044"/>
    <w:rsid w:val="00E508AA"/>
    <w:rsid w:val="00E508E8"/>
    <w:rsid w:val="00E50971"/>
    <w:rsid w:val="00E50A61"/>
    <w:rsid w:val="00E54C2C"/>
    <w:rsid w:val="00E60600"/>
    <w:rsid w:val="00E6333F"/>
    <w:rsid w:val="00E678A0"/>
    <w:rsid w:val="00E7129F"/>
    <w:rsid w:val="00E71D97"/>
    <w:rsid w:val="00E91DCC"/>
    <w:rsid w:val="00E95DD6"/>
    <w:rsid w:val="00EA2275"/>
    <w:rsid w:val="00EA2B73"/>
    <w:rsid w:val="00EB12C4"/>
    <w:rsid w:val="00EB20F2"/>
    <w:rsid w:val="00EB23E9"/>
    <w:rsid w:val="00EB3614"/>
    <w:rsid w:val="00EB361C"/>
    <w:rsid w:val="00EB575D"/>
    <w:rsid w:val="00EB6B45"/>
    <w:rsid w:val="00EC11E8"/>
    <w:rsid w:val="00ED0DE0"/>
    <w:rsid w:val="00EE5EA5"/>
    <w:rsid w:val="00EE7347"/>
    <w:rsid w:val="00EE7798"/>
    <w:rsid w:val="00EE7EDD"/>
    <w:rsid w:val="00F106A8"/>
    <w:rsid w:val="00F10C9C"/>
    <w:rsid w:val="00F12748"/>
    <w:rsid w:val="00F12B36"/>
    <w:rsid w:val="00F12E4E"/>
    <w:rsid w:val="00F154B7"/>
    <w:rsid w:val="00F17E68"/>
    <w:rsid w:val="00F251BC"/>
    <w:rsid w:val="00F2544B"/>
    <w:rsid w:val="00F275D0"/>
    <w:rsid w:val="00F322A4"/>
    <w:rsid w:val="00F33C70"/>
    <w:rsid w:val="00F36279"/>
    <w:rsid w:val="00F37BE2"/>
    <w:rsid w:val="00F415F1"/>
    <w:rsid w:val="00F436BF"/>
    <w:rsid w:val="00F53317"/>
    <w:rsid w:val="00F55CF0"/>
    <w:rsid w:val="00F56C2D"/>
    <w:rsid w:val="00F60D34"/>
    <w:rsid w:val="00F724DB"/>
    <w:rsid w:val="00F77B40"/>
    <w:rsid w:val="00F801AB"/>
    <w:rsid w:val="00F83CA4"/>
    <w:rsid w:val="00F9055A"/>
    <w:rsid w:val="00F9264E"/>
    <w:rsid w:val="00F92DB2"/>
    <w:rsid w:val="00F939D4"/>
    <w:rsid w:val="00FA25A5"/>
    <w:rsid w:val="00FA430E"/>
    <w:rsid w:val="00FB0D58"/>
    <w:rsid w:val="00FB274C"/>
    <w:rsid w:val="00FB3010"/>
    <w:rsid w:val="00FB4037"/>
    <w:rsid w:val="00FB4E46"/>
    <w:rsid w:val="00FB64E6"/>
    <w:rsid w:val="00FC150E"/>
    <w:rsid w:val="00FC1E63"/>
    <w:rsid w:val="00FC2951"/>
    <w:rsid w:val="00FD0798"/>
    <w:rsid w:val="00FD2B13"/>
    <w:rsid w:val="00FD2B80"/>
    <w:rsid w:val="00FD46BA"/>
    <w:rsid w:val="00FD58F2"/>
    <w:rsid w:val="00FD6667"/>
    <w:rsid w:val="00FD70DD"/>
    <w:rsid w:val="00FE164A"/>
    <w:rsid w:val="00FE4022"/>
    <w:rsid w:val="00FE4871"/>
    <w:rsid w:val="00FE5ECD"/>
    <w:rsid w:val="00FE5F8B"/>
    <w:rsid w:val="00FF048B"/>
    <w:rsid w:val="00FF294E"/>
    <w:rsid w:val="00FF5408"/>
    <w:rsid w:val="00FF61F4"/>
    <w:rsid w:val="00FF6865"/>
    <w:rsid w:val="00FF6CA3"/>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53876C-99EA-4EBD-9DFD-86813ABC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C8"/>
    <w:rPr>
      <w:b/>
      <w:sz w:val="24"/>
      <w:lang w:val="es-PR"/>
    </w:rPr>
  </w:style>
  <w:style w:type="paragraph" w:styleId="Heading1">
    <w:name w:val="heading 1"/>
    <w:basedOn w:val="Normal"/>
    <w:next w:val="Normal"/>
    <w:link w:val="Heading1Char"/>
    <w:qFormat/>
    <w:rsid w:val="00BA5DC8"/>
    <w:pPr>
      <w:keepNext/>
      <w:jc w:val="center"/>
      <w:outlineLvl w:val="0"/>
    </w:pPr>
    <w:rPr>
      <w:rFonts w:ascii="Imprint MT Shadow" w:hAnsi="Imprint MT Shadow"/>
      <w:b w:val="0"/>
      <w:sz w:val="12"/>
    </w:rPr>
  </w:style>
  <w:style w:type="paragraph" w:styleId="Heading2">
    <w:name w:val="heading 2"/>
    <w:basedOn w:val="Normal"/>
    <w:next w:val="Normal"/>
    <w:qFormat/>
    <w:rsid w:val="00BA5DC8"/>
    <w:pPr>
      <w:keepNext/>
      <w:ind w:left="57"/>
      <w:jc w:val="both"/>
      <w:outlineLvl w:val="1"/>
    </w:pPr>
    <w:rPr>
      <w:rFonts w:ascii="Arial" w:hAnsi="Arial"/>
    </w:rPr>
  </w:style>
  <w:style w:type="paragraph" w:styleId="Heading3">
    <w:name w:val="heading 3"/>
    <w:basedOn w:val="Normal"/>
    <w:next w:val="Normal"/>
    <w:link w:val="Heading3Char"/>
    <w:qFormat/>
    <w:rsid w:val="00BA5DC8"/>
    <w:pPr>
      <w:keepNext/>
      <w:ind w:left="-227" w:right="-227"/>
      <w:outlineLvl w:val="2"/>
    </w:pPr>
    <w:rPr>
      <w:rFonts w:ascii="Arial" w:hAnsi="Arial"/>
    </w:rPr>
  </w:style>
  <w:style w:type="paragraph" w:styleId="Heading6">
    <w:name w:val="heading 6"/>
    <w:basedOn w:val="Normal"/>
    <w:next w:val="Normal"/>
    <w:link w:val="Heading6Char"/>
    <w:semiHidden/>
    <w:unhideWhenUsed/>
    <w:qFormat/>
    <w:rsid w:val="00906B2E"/>
    <w:pPr>
      <w:spacing w:before="240" w:after="60"/>
      <w:outlineLvl w:val="5"/>
    </w:pPr>
    <w:rPr>
      <w:rFonts w:ascii="Calibri" w:hAnsi="Calibri"/>
      <w:b w:val="0"/>
      <w:bCs/>
      <w:sz w:val="22"/>
      <w:szCs w:val="22"/>
    </w:rPr>
  </w:style>
  <w:style w:type="paragraph" w:styleId="Heading9">
    <w:name w:val="heading 9"/>
    <w:basedOn w:val="Normal"/>
    <w:next w:val="Normal"/>
    <w:link w:val="Heading9Char"/>
    <w:semiHidden/>
    <w:unhideWhenUsed/>
    <w:qFormat/>
    <w:rsid w:val="005E2C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5DC8"/>
    <w:pPr>
      <w:jc w:val="center"/>
    </w:pPr>
    <w:rPr>
      <w:rFonts w:ascii="Marlett" w:hAnsi="Marlett"/>
      <w:sz w:val="56"/>
    </w:rPr>
  </w:style>
  <w:style w:type="paragraph" w:styleId="Header">
    <w:name w:val="header"/>
    <w:basedOn w:val="Normal"/>
    <w:link w:val="HeaderChar"/>
    <w:uiPriority w:val="99"/>
    <w:rsid w:val="00BA5DC8"/>
    <w:pPr>
      <w:tabs>
        <w:tab w:val="center" w:pos="4320"/>
        <w:tab w:val="right" w:pos="8640"/>
      </w:tabs>
    </w:pPr>
  </w:style>
  <w:style w:type="paragraph" w:styleId="Footer">
    <w:name w:val="footer"/>
    <w:basedOn w:val="Normal"/>
    <w:link w:val="FooterChar"/>
    <w:uiPriority w:val="99"/>
    <w:rsid w:val="00BA5DC8"/>
    <w:pPr>
      <w:tabs>
        <w:tab w:val="center" w:pos="4320"/>
        <w:tab w:val="right" w:pos="8640"/>
      </w:tabs>
    </w:pPr>
  </w:style>
  <w:style w:type="paragraph" w:styleId="BodyText">
    <w:name w:val="Body Text"/>
    <w:basedOn w:val="Normal"/>
    <w:link w:val="BodyTextChar"/>
    <w:rsid w:val="00BA5DC8"/>
    <w:pPr>
      <w:jc w:val="center"/>
    </w:pPr>
  </w:style>
  <w:style w:type="paragraph" w:styleId="BodyText3">
    <w:name w:val="Body Text 3"/>
    <w:basedOn w:val="Normal"/>
    <w:rsid w:val="00BA5DC8"/>
    <w:pPr>
      <w:jc w:val="both"/>
    </w:pPr>
    <w:rPr>
      <w:b w:val="0"/>
    </w:rPr>
  </w:style>
  <w:style w:type="paragraph" w:styleId="BodyTextIndent">
    <w:name w:val="Body Text Indent"/>
    <w:basedOn w:val="Normal"/>
    <w:rsid w:val="00BA5DC8"/>
    <w:pPr>
      <w:ind w:left="567"/>
      <w:jc w:val="both"/>
    </w:pPr>
    <w:rPr>
      <w:rFonts w:ascii="Arial" w:hAnsi="Arial"/>
    </w:rPr>
  </w:style>
  <w:style w:type="character" w:customStyle="1" w:styleId="EmailStyle211">
    <w:name w:val="EmailStyle211"/>
    <w:basedOn w:val="DefaultParagraphFont"/>
    <w:semiHidden/>
    <w:rsid w:val="00980A49"/>
    <w:rPr>
      <w:rFonts w:ascii="Arial" w:hAnsi="Arial" w:cs="Arial" w:hint="default"/>
      <w:color w:val="auto"/>
      <w:sz w:val="20"/>
      <w:szCs w:val="20"/>
    </w:rPr>
  </w:style>
  <w:style w:type="paragraph" w:styleId="BalloonText">
    <w:name w:val="Balloon Text"/>
    <w:basedOn w:val="Normal"/>
    <w:semiHidden/>
    <w:rsid w:val="00926C3A"/>
    <w:rPr>
      <w:rFonts w:ascii="Tahoma" w:hAnsi="Tahoma" w:cs="Tahoma"/>
      <w:sz w:val="16"/>
      <w:szCs w:val="16"/>
    </w:rPr>
  </w:style>
  <w:style w:type="character" w:styleId="PageNumber">
    <w:name w:val="page number"/>
    <w:basedOn w:val="DefaultParagraphFont"/>
    <w:rsid w:val="00F60D34"/>
  </w:style>
  <w:style w:type="table" w:styleId="TableWeb2">
    <w:name w:val="Table Web 2"/>
    <w:basedOn w:val="TableNormal"/>
    <w:rsid w:val="002766F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81E61"/>
    <w:pPr>
      <w:jc w:val="center"/>
    </w:pPr>
    <w:rPr>
      <w:b w:val="0"/>
    </w:rPr>
  </w:style>
  <w:style w:type="paragraph" w:styleId="DocumentMap">
    <w:name w:val="Document Map"/>
    <w:basedOn w:val="Normal"/>
    <w:link w:val="DocumentMapChar"/>
    <w:rsid w:val="00862998"/>
    <w:rPr>
      <w:rFonts w:ascii="Tahoma" w:hAnsi="Tahoma" w:cs="Tahoma"/>
      <w:sz w:val="16"/>
      <w:szCs w:val="16"/>
    </w:rPr>
  </w:style>
  <w:style w:type="character" w:customStyle="1" w:styleId="DocumentMapChar">
    <w:name w:val="Document Map Char"/>
    <w:basedOn w:val="DefaultParagraphFont"/>
    <w:link w:val="DocumentMap"/>
    <w:rsid w:val="00862998"/>
    <w:rPr>
      <w:rFonts w:ascii="Tahoma" w:hAnsi="Tahoma" w:cs="Tahoma"/>
      <w:b/>
      <w:sz w:val="16"/>
      <w:szCs w:val="16"/>
      <w:lang w:val="es-PR"/>
    </w:rPr>
  </w:style>
  <w:style w:type="paragraph" w:styleId="PlainText">
    <w:name w:val="Plain Text"/>
    <w:basedOn w:val="Normal"/>
    <w:link w:val="PlainTextChar"/>
    <w:uiPriority w:val="99"/>
    <w:unhideWhenUsed/>
    <w:rsid w:val="007C157D"/>
    <w:rPr>
      <w:rFonts w:ascii="Consolas" w:eastAsia="Calibri" w:hAnsi="Consolas"/>
      <w:b w:val="0"/>
      <w:sz w:val="21"/>
      <w:szCs w:val="21"/>
      <w:lang w:val="en-US"/>
    </w:rPr>
  </w:style>
  <w:style w:type="character" w:customStyle="1" w:styleId="PlainTextChar">
    <w:name w:val="Plain Text Char"/>
    <w:basedOn w:val="DefaultParagraphFont"/>
    <w:link w:val="PlainText"/>
    <w:uiPriority w:val="99"/>
    <w:rsid w:val="007C157D"/>
    <w:rPr>
      <w:rFonts w:ascii="Consolas" w:eastAsia="Calibri" w:hAnsi="Consolas" w:cs="Times New Roman"/>
      <w:sz w:val="21"/>
      <w:szCs w:val="21"/>
    </w:rPr>
  </w:style>
  <w:style w:type="table" w:customStyle="1" w:styleId="LightShading-Accent11">
    <w:name w:val="Light Shading - Accent 11"/>
    <w:basedOn w:val="TableNormal"/>
    <w:uiPriority w:val="60"/>
    <w:rsid w:val="00B004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B004E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B004E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rsid w:val="00A22935"/>
    <w:rPr>
      <w:color w:val="0000FF"/>
      <w:u w:val="single"/>
    </w:rPr>
  </w:style>
  <w:style w:type="character" w:customStyle="1" w:styleId="HeaderChar">
    <w:name w:val="Header Char"/>
    <w:basedOn w:val="DefaultParagraphFont"/>
    <w:link w:val="Header"/>
    <w:uiPriority w:val="99"/>
    <w:rsid w:val="00D85BCD"/>
    <w:rPr>
      <w:b/>
      <w:sz w:val="24"/>
      <w:lang w:val="es-PR"/>
    </w:rPr>
  </w:style>
  <w:style w:type="table" w:styleId="TableGrid">
    <w:name w:val="Table Grid"/>
    <w:basedOn w:val="TableNormal"/>
    <w:rsid w:val="008D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5408"/>
    <w:pPr>
      <w:ind w:left="720"/>
    </w:pPr>
  </w:style>
  <w:style w:type="character" w:customStyle="1" w:styleId="Heading1Char">
    <w:name w:val="Heading 1 Char"/>
    <w:basedOn w:val="DefaultParagraphFont"/>
    <w:link w:val="Heading1"/>
    <w:rsid w:val="008D446D"/>
    <w:rPr>
      <w:rFonts w:ascii="Imprint MT Shadow" w:hAnsi="Imprint MT Shadow"/>
      <w:sz w:val="12"/>
      <w:lang w:val="es-PR"/>
    </w:rPr>
  </w:style>
  <w:style w:type="character" w:customStyle="1" w:styleId="Heading3Char">
    <w:name w:val="Heading 3 Char"/>
    <w:basedOn w:val="DefaultParagraphFont"/>
    <w:link w:val="Heading3"/>
    <w:rsid w:val="008D446D"/>
    <w:rPr>
      <w:rFonts w:ascii="Arial" w:hAnsi="Arial"/>
      <w:b/>
      <w:sz w:val="24"/>
      <w:lang w:val="es-PR"/>
    </w:rPr>
  </w:style>
  <w:style w:type="character" w:customStyle="1" w:styleId="BodyTextChar">
    <w:name w:val="Body Text Char"/>
    <w:basedOn w:val="DefaultParagraphFont"/>
    <w:link w:val="BodyText"/>
    <w:rsid w:val="008D446D"/>
    <w:rPr>
      <w:b/>
      <w:sz w:val="24"/>
      <w:lang w:val="es-PR"/>
    </w:rPr>
  </w:style>
  <w:style w:type="character" w:customStyle="1" w:styleId="Heading6Char">
    <w:name w:val="Heading 6 Char"/>
    <w:basedOn w:val="DefaultParagraphFont"/>
    <w:link w:val="Heading6"/>
    <w:semiHidden/>
    <w:rsid w:val="00906B2E"/>
    <w:rPr>
      <w:rFonts w:ascii="Calibri" w:eastAsia="Times New Roman" w:hAnsi="Calibri" w:cs="Times New Roman"/>
      <w:bCs/>
      <w:sz w:val="22"/>
      <w:szCs w:val="22"/>
      <w:lang w:val="es-PR"/>
    </w:rPr>
  </w:style>
  <w:style w:type="character" w:customStyle="1" w:styleId="FooterChar">
    <w:name w:val="Footer Char"/>
    <w:basedOn w:val="DefaultParagraphFont"/>
    <w:link w:val="Footer"/>
    <w:uiPriority w:val="99"/>
    <w:rsid w:val="00311DCD"/>
    <w:rPr>
      <w:b/>
      <w:sz w:val="24"/>
      <w:lang w:val="es-PR"/>
    </w:rPr>
  </w:style>
  <w:style w:type="table" w:styleId="TableTheme">
    <w:name w:val="Table Theme"/>
    <w:basedOn w:val="TableNormal"/>
    <w:rsid w:val="00950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50B44"/>
    <w:rPr>
      <w:b/>
      <w:sz w:val="24"/>
      <w:lang w:val="es-PR"/>
    </w:rPr>
  </w:style>
  <w:style w:type="character" w:customStyle="1" w:styleId="NoSpacingChar">
    <w:name w:val="No Spacing Char"/>
    <w:basedOn w:val="DefaultParagraphFont"/>
    <w:link w:val="NoSpacing"/>
    <w:uiPriority w:val="1"/>
    <w:rsid w:val="00FF6CA3"/>
    <w:rPr>
      <w:b/>
      <w:sz w:val="24"/>
      <w:lang w:val="es-PR"/>
    </w:rPr>
  </w:style>
  <w:style w:type="character" w:customStyle="1" w:styleId="Heading9Char">
    <w:name w:val="Heading 9 Char"/>
    <w:basedOn w:val="DefaultParagraphFont"/>
    <w:link w:val="Heading9"/>
    <w:semiHidden/>
    <w:rsid w:val="005E2CF6"/>
    <w:rPr>
      <w:rFonts w:asciiTheme="majorHAnsi" w:eastAsiaTheme="majorEastAsia" w:hAnsiTheme="majorHAnsi" w:cstheme="majorBidi"/>
      <w:b/>
      <w:i/>
      <w:iCs/>
      <w:color w:val="404040" w:themeColor="text1" w:themeTint="BF"/>
      <w:lang w:val="es-PR"/>
    </w:rPr>
  </w:style>
  <w:style w:type="table" w:styleId="LightList-Accent3">
    <w:name w:val="Light List Accent 3"/>
    <w:basedOn w:val="TableNormal"/>
    <w:uiPriority w:val="61"/>
    <w:rsid w:val="005E2CF6"/>
    <w:rPr>
      <w:lang w:val="es-ES"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Shading-Accent31">
    <w:name w:val="Light Shading - Accent 31"/>
    <w:basedOn w:val="TableNormal"/>
    <w:next w:val="LightShading-Accent3"/>
    <w:uiPriority w:val="60"/>
    <w:rsid w:val="00F10C9C"/>
    <w:rPr>
      <w:color w:val="76923C" w:themeColor="accent3" w:themeShade="BF"/>
      <w:lang w:val="es-ES" w:eastAsia="es-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31">
    <w:name w:val="Light List - Accent 31"/>
    <w:basedOn w:val="TableNormal"/>
    <w:next w:val="LightList-Accent3"/>
    <w:uiPriority w:val="61"/>
    <w:rsid w:val="00DB148A"/>
    <w:rPr>
      <w:lang w:val="es-ES"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148">
      <w:bodyDiv w:val="1"/>
      <w:marLeft w:val="0"/>
      <w:marRight w:val="0"/>
      <w:marTop w:val="0"/>
      <w:marBottom w:val="0"/>
      <w:divBdr>
        <w:top w:val="none" w:sz="0" w:space="0" w:color="auto"/>
        <w:left w:val="none" w:sz="0" w:space="0" w:color="auto"/>
        <w:bottom w:val="none" w:sz="0" w:space="0" w:color="auto"/>
        <w:right w:val="none" w:sz="0" w:space="0" w:color="auto"/>
      </w:divBdr>
    </w:div>
    <w:div w:id="87040771">
      <w:bodyDiv w:val="1"/>
      <w:marLeft w:val="0"/>
      <w:marRight w:val="0"/>
      <w:marTop w:val="0"/>
      <w:marBottom w:val="0"/>
      <w:divBdr>
        <w:top w:val="none" w:sz="0" w:space="0" w:color="auto"/>
        <w:left w:val="none" w:sz="0" w:space="0" w:color="auto"/>
        <w:bottom w:val="none" w:sz="0" w:space="0" w:color="auto"/>
        <w:right w:val="none" w:sz="0" w:space="0" w:color="auto"/>
      </w:divBdr>
    </w:div>
    <w:div w:id="96289323">
      <w:bodyDiv w:val="1"/>
      <w:marLeft w:val="0"/>
      <w:marRight w:val="0"/>
      <w:marTop w:val="0"/>
      <w:marBottom w:val="0"/>
      <w:divBdr>
        <w:top w:val="none" w:sz="0" w:space="0" w:color="auto"/>
        <w:left w:val="none" w:sz="0" w:space="0" w:color="auto"/>
        <w:bottom w:val="none" w:sz="0" w:space="0" w:color="auto"/>
        <w:right w:val="none" w:sz="0" w:space="0" w:color="auto"/>
      </w:divBdr>
    </w:div>
    <w:div w:id="142816158">
      <w:bodyDiv w:val="1"/>
      <w:marLeft w:val="0"/>
      <w:marRight w:val="0"/>
      <w:marTop w:val="0"/>
      <w:marBottom w:val="0"/>
      <w:divBdr>
        <w:top w:val="none" w:sz="0" w:space="0" w:color="auto"/>
        <w:left w:val="none" w:sz="0" w:space="0" w:color="auto"/>
        <w:bottom w:val="none" w:sz="0" w:space="0" w:color="auto"/>
        <w:right w:val="none" w:sz="0" w:space="0" w:color="auto"/>
      </w:divBdr>
    </w:div>
    <w:div w:id="151340604">
      <w:bodyDiv w:val="1"/>
      <w:marLeft w:val="0"/>
      <w:marRight w:val="0"/>
      <w:marTop w:val="0"/>
      <w:marBottom w:val="0"/>
      <w:divBdr>
        <w:top w:val="none" w:sz="0" w:space="0" w:color="auto"/>
        <w:left w:val="none" w:sz="0" w:space="0" w:color="auto"/>
        <w:bottom w:val="none" w:sz="0" w:space="0" w:color="auto"/>
        <w:right w:val="none" w:sz="0" w:space="0" w:color="auto"/>
      </w:divBdr>
    </w:div>
    <w:div w:id="294147200">
      <w:bodyDiv w:val="1"/>
      <w:marLeft w:val="0"/>
      <w:marRight w:val="0"/>
      <w:marTop w:val="0"/>
      <w:marBottom w:val="0"/>
      <w:divBdr>
        <w:top w:val="none" w:sz="0" w:space="0" w:color="auto"/>
        <w:left w:val="none" w:sz="0" w:space="0" w:color="auto"/>
        <w:bottom w:val="none" w:sz="0" w:space="0" w:color="auto"/>
        <w:right w:val="none" w:sz="0" w:space="0" w:color="auto"/>
      </w:divBdr>
    </w:div>
    <w:div w:id="340548521">
      <w:bodyDiv w:val="1"/>
      <w:marLeft w:val="0"/>
      <w:marRight w:val="0"/>
      <w:marTop w:val="0"/>
      <w:marBottom w:val="0"/>
      <w:divBdr>
        <w:top w:val="none" w:sz="0" w:space="0" w:color="auto"/>
        <w:left w:val="none" w:sz="0" w:space="0" w:color="auto"/>
        <w:bottom w:val="none" w:sz="0" w:space="0" w:color="auto"/>
        <w:right w:val="none" w:sz="0" w:space="0" w:color="auto"/>
      </w:divBdr>
    </w:div>
    <w:div w:id="372732645">
      <w:bodyDiv w:val="1"/>
      <w:marLeft w:val="0"/>
      <w:marRight w:val="0"/>
      <w:marTop w:val="0"/>
      <w:marBottom w:val="0"/>
      <w:divBdr>
        <w:top w:val="none" w:sz="0" w:space="0" w:color="auto"/>
        <w:left w:val="none" w:sz="0" w:space="0" w:color="auto"/>
        <w:bottom w:val="none" w:sz="0" w:space="0" w:color="auto"/>
        <w:right w:val="none" w:sz="0" w:space="0" w:color="auto"/>
      </w:divBdr>
    </w:div>
    <w:div w:id="566570958">
      <w:bodyDiv w:val="1"/>
      <w:marLeft w:val="0"/>
      <w:marRight w:val="0"/>
      <w:marTop w:val="0"/>
      <w:marBottom w:val="0"/>
      <w:divBdr>
        <w:top w:val="none" w:sz="0" w:space="0" w:color="auto"/>
        <w:left w:val="none" w:sz="0" w:space="0" w:color="auto"/>
        <w:bottom w:val="none" w:sz="0" w:space="0" w:color="auto"/>
        <w:right w:val="none" w:sz="0" w:space="0" w:color="auto"/>
      </w:divBdr>
    </w:div>
    <w:div w:id="585384995">
      <w:bodyDiv w:val="1"/>
      <w:marLeft w:val="0"/>
      <w:marRight w:val="0"/>
      <w:marTop w:val="0"/>
      <w:marBottom w:val="0"/>
      <w:divBdr>
        <w:top w:val="none" w:sz="0" w:space="0" w:color="auto"/>
        <w:left w:val="none" w:sz="0" w:space="0" w:color="auto"/>
        <w:bottom w:val="none" w:sz="0" w:space="0" w:color="auto"/>
        <w:right w:val="none" w:sz="0" w:space="0" w:color="auto"/>
      </w:divBdr>
    </w:div>
    <w:div w:id="696271372">
      <w:bodyDiv w:val="1"/>
      <w:marLeft w:val="0"/>
      <w:marRight w:val="0"/>
      <w:marTop w:val="0"/>
      <w:marBottom w:val="0"/>
      <w:divBdr>
        <w:top w:val="none" w:sz="0" w:space="0" w:color="auto"/>
        <w:left w:val="none" w:sz="0" w:space="0" w:color="auto"/>
        <w:bottom w:val="none" w:sz="0" w:space="0" w:color="auto"/>
        <w:right w:val="none" w:sz="0" w:space="0" w:color="auto"/>
      </w:divBdr>
    </w:div>
    <w:div w:id="842862467">
      <w:bodyDiv w:val="1"/>
      <w:marLeft w:val="0"/>
      <w:marRight w:val="0"/>
      <w:marTop w:val="0"/>
      <w:marBottom w:val="0"/>
      <w:divBdr>
        <w:top w:val="none" w:sz="0" w:space="0" w:color="auto"/>
        <w:left w:val="none" w:sz="0" w:space="0" w:color="auto"/>
        <w:bottom w:val="none" w:sz="0" w:space="0" w:color="auto"/>
        <w:right w:val="none" w:sz="0" w:space="0" w:color="auto"/>
      </w:divBdr>
    </w:div>
    <w:div w:id="1082025645">
      <w:bodyDiv w:val="1"/>
      <w:marLeft w:val="0"/>
      <w:marRight w:val="0"/>
      <w:marTop w:val="0"/>
      <w:marBottom w:val="0"/>
      <w:divBdr>
        <w:top w:val="none" w:sz="0" w:space="0" w:color="auto"/>
        <w:left w:val="none" w:sz="0" w:space="0" w:color="auto"/>
        <w:bottom w:val="none" w:sz="0" w:space="0" w:color="auto"/>
        <w:right w:val="none" w:sz="0" w:space="0" w:color="auto"/>
      </w:divBdr>
    </w:div>
    <w:div w:id="1256591557">
      <w:bodyDiv w:val="1"/>
      <w:marLeft w:val="0"/>
      <w:marRight w:val="0"/>
      <w:marTop w:val="0"/>
      <w:marBottom w:val="0"/>
      <w:divBdr>
        <w:top w:val="none" w:sz="0" w:space="0" w:color="auto"/>
        <w:left w:val="none" w:sz="0" w:space="0" w:color="auto"/>
        <w:bottom w:val="none" w:sz="0" w:space="0" w:color="auto"/>
        <w:right w:val="none" w:sz="0" w:space="0" w:color="auto"/>
      </w:divBdr>
    </w:div>
    <w:div w:id="1265379566">
      <w:bodyDiv w:val="1"/>
      <w:marLeft w:val="0"/>
      <w:marRight w:val="0"/>
      <w:marTop w:val="0"/>
      <w:marBottom w:val="0"/>
      <w:divBdr>
        <w:top w:val="none" w:sz="0" w:space="0" w:color="auto"/>
        <w:left w:val="none" w:sz="0" w:space="0" w:color="auto"/>
        <w:bottom w:val="none" w:sz="0" w:space="0" w:color="auto"/>
        <w:right w:val="none" w:sz="0" w:space="0" w:color="auto"/>
      </w:divBdr>
    </w:div>
    <w:div w:id="1452094419">
      <w:bodyDiv w:val="1"/>
      <w:marLeft w:val="0"/>
      <w:marRight w:val="0"/>
      <w:marTop w:val="0"/>
      <w:marBottom w:val="0"/>
      <w:divBdr>
        <w:top w:val="none" w:sz="0" w:space="0" w:color="auto"/>
        <w:left w:val="none" w:sz="0" w:space="0" w:color="auto"/>
        <w:bottom w:val="none" w:sz="0" w:space="0" w:color="auto"/>
        <w:right w:val="none" w:sz="0" w:space="0" w:color="auto"/>
      </w:divBdr>
    </w:div>
    <w:div w:id="1572544627">
      <w:bodyDiv w:val="1"/>
      <w:marLeft w:val="0"/>
      <w:marRight w:val="0"/>
      <w:marTop w:val="0"/>
      <w:marBottom w:val="0"/>
      <w:divBdr>
        <w:top w:val="none" w:sz="0" w:space="0" w:color="auto"/>
        <w:left w:val="none" w:sz="0" w:space="0" w:color="auto"/>
        <w:bottom w:val="none" w:sz="0" w:space="0" w:color="auto"/>
        <w:right w:val="none" w:sz="0" w:space="0" w:color="auto"/>
      </w:divBdr>
    </w:div>
    <w:div w:id="1601257248">
      <w:bodyDiv w:val="1"/>
      <w:marLeft w:val="0"/>
      <w:marRight w:val="0"/>
      <w:marTop w:val="0"/>
      <w:marBottom w:val="0"/>
      <w:divBdr>
        <w:top w:val="none" w:sz="0" w:space="0" w:color="auto"/>
        <w:left w:val="none" w:sz="0" w:space="0" w:color="auto"/>
        <w:bottom w:val="none" w:sz="0" w:space="0" w:color="auto"/>
        <w:right w:val="none" w:sz="0" w:space="0" w:color="auto"/>
      </w:divBdr>
    </w:div>
    <w:div w:id="1893039156">
      <w:bodyDiv w:val="1"/>
      <w:marLeft w:val="0"/>
      <w:marRight w:val="0"/>
      <w:marTop w:val="0"/>
      <w:marBottom w:val="0"/>
      <w:divBdr>
        <w:top w:val="none" w:sz="0" w:space="0" w:color="auto"/>
        <w:left w:val="none" w:sz="0" w:space="0" w:color="auto"/>
        <w:bottom w:val="none" w:sz="0" w:space="0" w:color="auto"/>
        <w:right w:val="none" w:sz="0" w:space="0" w:color="auto"/>
      </w:divBdr>
    </w:div>
    <w:div w:id="2104955393">
      <w:bodyDiv w:val="1"/>
      <w:marLeft w:val="0"/>
      <w:marRight w:val="0"/>
      <w:marTop w:val="0"/>
      <w:marBottom w:val="0"/>
      <w:divBdr>
        <w:top w:val="none" w:sz="0" w:space="0" w:color="auto"/>
        <w:left w:val="none" w:sz="0" w:space="0" w:color="auto"/>
        <w:bottom w:val="none" w:sz="0" w:space="0" w:color="auto"/>
        <w:right w:val="none" w:sz="0" w:space="0" w:color="auto"/>
      </w:divBdr>
    </w:div>
    <w:div w:id="21204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CEC994.BE343B8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pel%20Timbrado%20Nuevo%20Le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BFE02D82E8DD449619D54D3D644CBB" ma:contentTypeVersion="1" ma:contentTypeDescription="Create a new document." ma:contentTypeScope="" ma:versionID="7f0e8705a4c2700ea216b708c56c8b25">
  <xsd:schema xmlns:xsd="http://www.w3.org/2001/XMLSchema" xmlns:xs="http://www.w3.org/2001/XMLSchema" xmlns:p="http://schemas.microsoft.com/office/2006/metadata/properties" targetNamespace="http://schemas.microsoft.com/office/2006/metadata/properties" ma:root="true" ma:fieldsID="e4900f533b220fbc838914832cb36b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483C2-86D2-4D9B-84D3-F0D643BB93F3}"/>
</file>

<file path=customXml/itemProps2.xml><?xml version="1.0" encoding="utf-8"?>
<ds:datastoreItem xmlns:ds="http://schemas.openxmlformats.org/officeDocument/2006/customXml" ds:itemID="{04D50E1D-10D6-408B-9270-6F14199BD582}"/>
</file>

<file path=customXml/itemProps3.xml><?xml version="1.0" encoding="utf-8"?>
<ds:datastoreItem xmlns:ds="http://schemas.openxmlformats.org/officeDocument/2006/customXml" ds:itemID="{72B87546-9742-46C2-AE19-401DB73EB4DB}"/>
</file>

<file path=customXml/itemProps4.xml><?xml version="1.0" encoding="utf-8"?>
<ds:datastoreItem xmlns:ds="http://schemas.openxmlformats.org/officeDocument/2006/customXml" ds:itemID="{B7C5EFD1-D632-40A0-A5C7-A586AB7ECBF0}"/>
</file>

<file path=docProps/app.xml><?xml version="1.0" encoding="utf-8"?>
<Properties xmlns="http://schemas.openxmlformats.org/officeDocument/2006/extended-properties" xmlns:vt="http://schemas.openxmlformats.org/officeDocument/2006/docPropsVTypes">
  <Template>Papel Timbrado Nuevo Lema</Template>
  <TotalTime>1</TotalTime>
  <Pages>5</Pages>
  <Words>1576</Words>
  <Characters>8669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3 de marzo de 2004</vt:lpstr>
    </vt:vector>
  </TitlesOfParts>
  <Company>ARV</Company>
  <LinksUpToDate>false</LinksUpToDate>
  <CharactersWithSpaces>10225</CharactersWithSpaces>
  <SharedDoc>false</SharedDoc>
  <HLinks>
    <vt:vector size="6" baseType="variant">
      <vt:variant>
        <vt:i4>7209063</vt:i4>
      </vt:variant>
      <vt:variant>
        <vt:i4>0</vt:i4>
      </vt:variant>
      <vt:variant>
        <vt:i4>0</vt:i4>
      </vt:variant>
      <vt:variant>
        <vt:i4>5</vt:i4>
      </vt:variant>
      <vt:variant>
        <vt:lpwstr>http://www.arv.gobierno.pr/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de marzo de 2004</dc:title>
  <dc:creator>Sara Rojas</dc:creator>
  <cp:lastModifiedBy>RAMON GONZALEZ TRINIDAD</cp:lastModifiedBy>
  <cp:revision>2</cp:revision>
  <cp:lastPrinted>2016-10-12T18:48:00Z</cp:lastPrinted>
  <dcterms:created xsi:type="dcterms:W3CDTF">2016-10-17T20:27:00Z</dcterms:created>
  <dcterms:modified xsi:type="dcterms:W3CDTF">2016-10-17T20:27:00Z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0x01010095BFE02D82E8DD449619D54D3D644CBB</vt:lpwstr>
  </property>
</Properties>
</file>